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76" w:lineRule="exact"/>
        <w:jc w:val="both"/>
        <w:rPr>
          <w:rFonts w:hint="eastAsia" w:ascii="黑体" w:hAnsi="黑体" w:eastAsia="黑体" w:cs="黑体"/>
          <w:b w:val="0"/>
          <w:bCs/>
          <w:sz w:val="32"/>
          <w:szCs w:val="24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24"/>
          <w:lang w:val="en-US" w:eastAsia="zh-CN"/>
        </w:rPr>
        <w:t>附件2</w:t>
      </w:r>
    </w:p>
    <w:p>
      <w:pPr>
        <w:spacing w:line="576" w:lineRule="exact"/>
        <w:jc w:val="both"/>
        <w:rPr>
          <w:rFonts w:hint="eastAsia" w:ascii="黑体" w:hAnsi="黑体" w:eastAsia="黑体" w:cs="黑体"/>
          <w:b w:val="0"/>
          <w:bCs/>
          <w:sz w:val="32"/>
          <w:szCs w:val="24"/>
          <w:lang w:val="en-US" w:eastAsia="zh-CN"/>
        </w:rPr>
      </w:pPr>
    </w:p>
    <w:p>
      <w:pPr>
        <w:spacing w:line="576" w:lineRule="exact"/>
        <w:jc w:val="center"/>
        <w:rPr>
          <w:rFonts w:hint="eastAsia" w:asciiTheme="majorEastAsia" w:hAnsiTheme="majorEastAsia" w:eastAsiaTheme="majorEastAsia" w:cstheme="majorEastAsia"/>
          <w:b/>
          <w:sz w:val="44"/>
          <w:szCs w:val="36"/>
        </w:rPr>
      </w:pPr>
      <w:r>
        <w:rPr>
          <w:rFonts w:hint="eastAsia" w:asciiTheme="majorEastAsia" w:hAnsiTheme="majorEastAsia" w:eastAsiaTheme="majorEastAsia" w:cstheme="majorEastAsia"/>
          <w:b/>
          <w:sz w:val="44"/>
          <w:szCs w:val="36"/>
        </w:rPr>
        <w:t>青海大学</w:t>
      </w:r>
      <w:r>
        <w:rPr>
          <w:rFonts w:hint="eastAsia" w:asciiTheme="majorEastAsia" w:hAnsiTheme="majorEastAsia" w:eastAsiaTheme="majorEastAsia" w:cstheme="majorEastAsia"/>
          <w:b/>
          <w:sz w:val="44"/>
          <w:szCs w:val="36"/>
          <w:lang w:val="en-US" w:eastAsia="zh-CN"/>
        </w:rPr>
        <w:t>部省合建</w:t>
      </w:r>
      <w:r>
        <w:rPr>
          <w:rFonts w:hint="eastAsia" w:asciiTheme="majorEastAsia" w:hAnsiTheme="majorEastAsia" w:eastAsiaTheme="majorEastAsia" w:cstheme="majorEastAsia"/>
          <w:b/>
          <w:sz w:val="44"/>
          <w:szCs w:val="36"/>
        </w:rPr>
        <w:t>盐湖化工大型系列研究设施开放课题申报指南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before="120" w:beforeLines="50" w:after="120" w:afterLines="50" w:line="576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24"/>
        </w:rPr>
      </w:pPr>
      <w:r>
        <w:rPr>
          <w:rFonts w:hint="eastAsia" w:ascii="仿宋_GB2312" w:hAnsi="仿宋_GB2312" w:eastAsia="仿宋_GB2312" w:cs="仿宋_GB2312"/>
          <w:sz w:val="32"/>
          <w:szCs w:val="24"/>
        </w:rPr>
        <w:t>（</w:t>
      </w:r>
      <w:r>
        <w:rPr>
          <w:rFonts w:hint="default" w:ascii="Times New Roman" w:hAnsi="Times New Roman" w:eastAsia="仿宋_GB2312" w:cs="Times New Roman"/>
          <w:sz w:val="32"/>
          <w:szCs w:val="24"/>
        </w:rPr>
        <w:t>2023</w:t>
      </w:r>
      <w:r>
        <w:rPr>
          <w:rFonts w:hint="eastAsia" w:ascii="仿宋_GB2312" w:hAnsi="仿宋_GB2312" w:eastAsia="仿宋_GB2312" w:cs="仿宋_GB2312"/>
          <w:sz w:val="32"/>
          <w:szCs w:val="24"/>
        </w:rPr>
        <w:t>年度）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beforeLines="50" w:after="120" w:afterLines="50" w:line="576" w:lineRule="exact"/>
        <w:ind w:firstLine="640" w:firstLineChars="200"/>
        <w:textAlignment w:val="auto"/>
        <w:rPr>
          <w:rFonts w:eastAsia="黑体"/>
          <w:b w:val="0"/>
          <w:bCs/>
          <w:sz w:val="32"/>
          <w:szCs w:val="28"/>
        </w:rPr>
      </w:pPr>
      <w:r>
        <w:rPr>
          <w:rFonts w:hint="eastAsia" w:eastAsia="黑体"/>
          <w:b w:val="0"/>
          <w:bCs/>
          <w:sz w:val="32"/>
          <w:szCs w:val="28"/>
        </w:rPr>
        <w:t>一、资助对象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．国内外符合青海大学盐湖化工大型系列研究设施（以下简称“大型设施”）主要研究方向，并且希望利用本大型设施的科研条件进行研究的项目，均可申请。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．申请者根据大型设施主要研究方向自由选题，按照《青海大学盐湖化工大型系列研究设施开放课题管理办法》的规定，认真填写申请书。大型设施开放基金将优先资助服务盐湖化工、立论清晰、目标明确、研究内容具体、具有创新性和应用前景的研究课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．申请者必须同本大型设施科研团队开展合作研究，在申请书中须有明确的合作研究计划。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．副高级职称以上或者具有博士学位者，具有一定研究工作基础，对指南内容有兴趣者均可提出申请。尚无高级技术职称的青年科技工作者申请时，需有两名具有高级技术职称的同行科技人员推荐。在读研究生的申请原则上不予受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beforeLines="50" w:after="120" w:afterLines="50" w:line="576" w:lineRule="exact"/>
        <w:ind w:firstLine="640" w:firstLineChars="200"/>
        <w:textAlignment w:val="auto"/>
        <w:rPr>
          <w:rFonts w:hint="eastAsia" w:eastAsia="黑体"/>
          <w:b w:val="0"/>
          <w:bCs/>
          <w:sz w:val="32"/>
          <w:szCs w:val="28"/>
        </w:rPr>
      </w:pPr>
      <w:r>
        <w:rPr>
          <w:rFonts w:hint="eastAsia" w:eastAsia="黑体"/>
          <w:b w:val="0"/>
          <w:bCs/>
          <w:sz w:val="32"/>
          <w:szCs w:val="28"/>
        </w:rPr>
        <w:t>二、资助方式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项目资助周期为二年，实行课题单独核算。项目经费主要用于实验材料费、测试化验加工费、差旅费、出版文献资料费等。对于取得突出成果的研究项目将给予滚动支持。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beforeLines="50" w:after="120" w:afterLines="50" w:line="576" w:lineRule="exact"/>
        <w:ind w:firstLine="640" w:firstLineChars="200"/>
        <w:textAlignment w:val="auto"/>
        <w:rPr>
          <w:rFonts w:hint="eastAsia" w:eastAsia="黑体"/>
          <w:b w:val="0"/>
          <w:bCs/>
          <w:sz w:val="32"/>
          <w:szCs w:val="28"/>
        </w:rPr>
      </w:pPr>
      <w:r>
        <w:rPr>
          <w:rFonts w:hint="eastAsia" w:eastAsia="黑体"/>
          <w:b w:val="0"/>
          <w:bCs/>
          <w:sz w:val="32"/>
          <w:szCs w:val="28"/>
        </w:rPr>
        <w:t>三、申请程序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beforeLines="50" w:after="120" w:afterLines="50" w:line="576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本大型设施的开放课题将在青海大学化工学院主页</w:t>
      </w:r>
      <w:r>
        <w:rPr>
          <w:rFonts w:hint="default" w:ascii="Times New Roman" w:hAnsi="Times New Roman" w:eastAsia="仿宋" w:cs="Times New Roman"/>
          <w:sz w:val="32"/>
          <w:szCs w:val="32"/>
        </w:rPr>
        <w:t>（https://hgxy.qhu.edu.cn/）</w:t>
      </w:r>
      <w:r>
        <w:rPr>
          <w:rFonts w:hint="eastAsia" w:ascii="仿宋_GB2312" w:hAnsi="仿宋_GB2312" w:eastAsia="仿宋_GB2312" w:cs="仿宋_GB2312"/>
          <w:sz w:val="32"/>
          <w:szCs w:val="32"/>
        </w:rPr>
        <w:t>上公布，申请人可及时上网浏览相关信息。凡申请本开放课题项目者须填写《青海大学盐湖化工大型系列研究设施开放课题申请书》，将填写完成的申请书通过电子邮件形式提交相关材料，待获批后再提交签字盖章的纸质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beforeLines="50" w:after="120" w:afterLines="50" w:line="576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申请的项目经产业咨询委员会和学术委员会评议通过，并由大型设施建设负责人审核批准后才能纳入资助计划。审批通过后将通知申请人，须在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个月内确定研究任务并签订课题任务书。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beforeLines="50" w:after="120" w:afterLines="50" w:line="576" w:lineRule="exact"/>
        <w:ind w:firstLine="640" w:firstLineChars="200"/>
        <w:textAlignment w:val="auto"/>
        <w:rPr>
          <w:rFonts w:hint="eastAsia" w:eastAsia="黑体"/>
          <w:b w:val="0"/>
          <w:bCs/>
          <w:sz w:val="32"/>
          <w:szCs w:val="28"/>
        </w:rPr>
      </w:pPr>
      <w:r>
        <w:rPr>
          <w:rFonts w:hint="eastAsia" w:eastAsia="黑体"/>
          <w:b w:val="0"/>
          <w:bCs/>
          <w:sz w:val="32"/>
          <w:szCs w:val="28"/>
        </w:rPr>
        <w:t>四、资助研究方向</w:t>
      </w:r>
    </w:p>
    <w:p>
      <w:pPr>
        <w:pStyle w:val="15"/>
        <w:spacing w:line="576" w:lineRule="exact"/>
        <w:ind w:firstLine="602"/>
        <w:rPr>
          <w:rFonts w:hint="eastAsia" w:ascii="楷体" w:hAnsi="楷体" w:eastAsia="楷体" w:cs="楷体"/>
          <w:b w:val="0"/>
          <w:bCs/>
          <w:sz w:val="32"/>
          <w:szCs w:val="32"/>
        </w:rPr>
      </w:pPr>
      <w:r>
        <w:rPr>
          <w:rFonts w:hint="eastAsia" w:ascii="楷体" w:hAnsi="楷体" w:eastAsia="楷体" w:cs="楷体"/>
          <w:b w:val="0"/>
          <w:bCs/>
          <w:sz w:val="32"/>
          <w:szCs w:val="32"/>
        </w:rPr>
        <w:t>（一）盐湖锂资源高效利用方向</w:t>
      </w:r>
    </w:p>
    <w:p>
      <w:pPr>
        <w:pStyle w:val="15"/>
        <w:spacing w:line="576" w:lineRule="exact"/>
        <w:ind w:firstLine="600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重点资助领域：</w:t>
      </w:r>
    </w:p>
    <w:p>
      <w:pPr>
        <w:pStyle w:val="15"/>
        <w:spacing w:line="576" w:lineRule="exact"/>
        <w:ind w:firstLine="600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1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．高镁锂比条件下盐湖资源的高效分离材料与关键技术，盐湖卤水提锂综合回收率提升技术，提锂节能节水技术，</w:t>
      </w:r>
      <w:bookmarkStart w:id="0" w:name="_Hlk136596993"/>
      <w:bookmarkStart w:id="1" w:name="_Hlk136596739"/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原矿卤水中高效提锂技术</w:t>
      </w:r>
      <w:bookmarkEnd w:id="0"/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，其它伴生稀有元素协同开发技术</w:t>
      </w:r>
      <w:bookmarkEnd w:id="1"/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 xml:space="preserve">； </w:t>
      </w:r>
    </w:p>
    <w:p>
      <w:pPr>
        <w:pStyle w:val="15"/>
        <w:spacing w:line="576" w:lineRule="exact"/>
        <w:ind w:firstLine="600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2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．电池级碳酸锂、金属锂及合金、锂基能源材料、含锂高级润滑脂以及锂同位素等绿色制备关键技术及其锂产品。</w:t>
      </w:r>
    </w:p>
    <w:p>
      <w:pPr>
        <w:pStyle w:val="15"/>
        <w:spacing w:line="576" w:lineRule="exact"/>
        <w:ind w:firstLine="602"/>
        <w:rPr>
          <w:rFonts w:hint="eastAsia" w:ascii="楷体" w:hAnsi="楷体" w:eastAsia="楷体" w:cs="楷体"/>
          <w:b w:val="0"/>
          <w:bCs/>
          <w:sz w:val="32"/>
          <w:szCs w:val="32"/>
        </w:rPr>
      </w:pPr>
      <w:r>
        <w:rPr>
          <w:rFonts w:hint="eastAsia" w:ascii="楷体" w:hAnsi="楷体" w:eastAsia="楷体" w:cs="楷体"/>
          <w:b w:val="0"/>
          <w:bCs/>
          <w:sz w:val="32"/>
          <w:szCs w:val="32"/>
        </w:rPr>
        <w:t>（二）盐湖镁资源高值利用方向</w:t>
      </w:r>
    </w:p>
    <w:p>
      <w:pPr>
        <w:pStyle w:val="15"/>
        <w:spacing w:line="576" w:lineRule="exact"/>
        <w:ind w:firstLine="600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重点支持领域：</w:t>
      </w:r>
    </w:p>
    <w:p>
      <w:pPr>
        <w:pStyle w:val="15"/>
        <w:spacing w:line="576" w:lineRule="exact"/>
        <w:ind w:firstLine="600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1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．镁基功能材料、镁基能源材料、镁基晶须材料、镁基催化材料、镁及其合金等高附加值材料及关键技术；</w:t>
      </w:r>
    </w:p>
    <w:p>
      <w:pPr>
        <w:pStyle w:val="15"/>
        <w:spacing w:line="576" w:lineRule="exact"/>
        <w:ind w:firstLine="600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2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．盐湖金属镁基氢能材料、原位自生复合材料及关键技术；</w:t>
      </w:r>
    </w:p>
    <w:p>
      <w:pPr>
        <w:pStyle w:val="15"/>
        <w:spacing w:line="576" w:lineRule="exact"/>
        <w:ind w:firstLine="600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3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．镁基耐火材料、镁基建筑材料等大宗材料及关键技术。</w:t>
      </w:r>
    </w:p>
    <w:p>
      <w:pPr>
        <w:pStyle w:val="15"/>
        <w:spacing w:line="576" w:lineRule="exact"/>
        <w:ind w:firstLine="602"/>
        <w:rPr>
          <w:rFonts w:hint="eastAsia" w:ascii="楷体" w:hAnsi="楷体" w:eastAsia="楷体" w:cs="楷体"/>
          <w:b w:val="0"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 w:val="0"/>
          <w:bCs/>
          <w:sz w:val="32"/>
          <w:szCs w:val="32"/>
          <w:lang w:val="en-US" w:eastAsia="zh-CN"/>
        </w:rPr>
        <w:t>（三）盐湖低品位钾高效提取方向</w:t>
      </w:r>
    </w:p>
    <w:p>
      <w:pPr>
        <w:pStyle w:val="15"/>
        <w:spacing w:line="576" w:lineRule="exact"/>
        <w:ind w:firstLine="600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重点支持领域：</w:t>
      </w:r>
    </w:p>
    <w:p>
      <w:pPr>
        <w:pStyle w:val="15"/>
        <w:spacing w:line="576" w:lineRule="exact"/>
        <w:ind w:firstLine="600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1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．低品位钾矿的矿物性质和化学性质研究，低品位、低渗透性、低溶解度钾资源低能耗回收利用、新型浮选药剂等关键技术；</w:t>
      </w:r>
    </w:p>
    <w:p>
      <w:pPr>
        <w:pStyle w:val="15"/>
        <w:spacing w:line="576" w:lineRule="exact"/>
        <w:ind w:firstLine="600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2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．高纯钾盐、食品/医药级钾盐、碳酸钾、氢氧化钾等新型钾产品关键技术；</w:t>
      </w:r>
    </w:p>
    <w:p>
      <w:pPr>
        <w:pStyle w:val="15"/>
        <w:spacing w:line="576" w:lineRule="exact"/>
        <w:ind w:firstLine="600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3．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熔盐储能材料以及熔盐传蓄热系统等关键技术。</w:t>
      </w:r>
    </w:p>
    <w:p>
      <w:pPr>
        <w:pStyle w:val="15"/>
        <w:spacing w:line="576" w:lineRule="exact"/>
        <w:ind w:firstLine="602"/>
        <w:rPr>
          <w:rFonts w:hint="eastAsia" w:ascii="楷体" w:hAnsi="楷体" w:eastAsia="楷体" w:cs="楷体"/>
          <w:b w:val="0"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 w:val="0"/>
          <w:bCs/>
          <w:sz w:val="32"/>
          <w:szCs w:val="32"/>
          <w:lang w:val="en-US" w:eastAsia="zh-CN"/>
        </w:rPr>
        <w:t>（四）盐湖氯元素平衡利用方向</w:t>
      </w:r>
    </w:p>
    <w:p>
      <w:pPr>
        <w:pStyle w:val="15"/>
        <w:spacing w:line="576" w:lineRule="exact"/>
        <w:ind w:firstLine="600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重点支持领域：</w:t>
      </w:r>
    </w:p>
    <w:p>
      <w:pPr>
        <w:pStyle w:val="15"/>
        <w:spacing w:line="576" w:lineRule="exact"/>
        <w:ind w:firstLine="600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1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．高性能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PVC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、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CPVC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、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PVDC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、环氧氯丙烷等高消纳氯和稳定固氯的材料及关键技术；</w:t>
      </w:r>
    </w:p>
    <w:p>
      <w:pPr>
        <w:pStyle w:val="15"/>
        <w:spacing w:line="576" w:lineRule="exact"/>
        <w:ind w:firstLine="600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2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．高端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PVC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复合材料、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CPVC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复合材料等高性能材料及应用技术。</w:t>
      </w:r>
    </w:p>
    <w:p>
      <w:pPr>
        <w:pStyle w:val="15"/>
        <w:spacing w:line="576" w:lineRule="exact"/>
        <w:ind w:firstLine="602"/>
        <w:rPr>
          <w:rFonts w:hint="eastAsia" w:ascii="楷体" w:hAnsi="楷体" w:eastAsia="楷体" w:cs="楷体"/>
          <w:b w:val="0"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 w:val="0"/>
          <w:bCs/>
          <w:sz w:val="32"/>
          <w:szCs w:val="32"/>
          <w:lang w:val="en-US" w:eastAsia="zh-CN"/>
        </w:rPr>
        <w:t>（五）盐湖稀有元素提取方向</w:t>
      </w:r>
    </w:p>
    <w:p>
      <w:pPr>
        <w:pStyle w:val="15"/>
        <w:spacing w:line="576" w:lineRule="exact"/>
        <w:ind w:firstLine="600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重点支持领域：</w:t>
      </w:r>
    </w:p>
    <w:p>
      <w:pPr>
        <w:pStyle w:val="15"/>
        <w:spacing w:line="576" w:lineRule="exact"/>
        <w:ind w:firstLine="600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1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．盐湖铷、铯、溴、碘等稀有元素分离、提取和加工技术；</w:t>
      </w:r>
    </w:p>
    <w:p>
      <w:pPr>
        <w:pStyle w:val="15"/>
        <w:spacing w:line="576" w:lineRule="exact"/>
        <w:ind w:firstLine="600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2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．卤水提锂过程中副产硼酸回收利用技术、低品位硼矿硼分离提取技术；</w:t>
      </w:r>
    </w:p>
    <w:p>
      <w:pPr>
        <w:pStyle w:val="15"/>
        <w:spacing w:line="576" w:lineRule="exact"/>
        <w:ind w:firstLine="600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3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．氯化铷、氯化铯、溴化锂等稀有元素产品及下游精细化工产品和技术；</w:t>
      </w:r>
    </w:p>
    <w:p>
      <w:pPr>
        <w:pStyle w:val="15"/>
        <w:spacing w:line="576" w:lineRule="exact"/>
        <w:ind w:firstLine="600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4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．高纯硼酸、电子级硼酸锌、硼同位素等产品和技术。</w:t>
      </w:r>
    </w:p>
    <w:p>
      <w:pPr>
        <w:pStyle w:val="15"/>
        <w:spacing w:line="576" w:lineRule="exact"/>
        <w:ind w:firstLine="602"/>
        <w:rPr>
          <w:rFonts w:hint="eastAsia" w:ascii="楷体" w:hAnsi="楷体" w:eastAsia="楷体" w:cs="楷体"/>
          <w:b w:val="0"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 w:val="0"/>
          <w:bCs/>
          <w:sz w:val="32"/>
          <w:szCs w:val="32"/>
          <w:lang w:val="en-US" w:eastAsia="zh-CN"/>
        </w:rPr>
        <w:t>（六）其它盐湖资源利用方向</w:t>
      </w:r>
    </w:p>
    <w:p>
      <w:pPr>
        <w:pStyle w:val="15"/>
        <w:spacing w:line="576" w:lineRule="exact"/>
        <w:ind w:firstLine="600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钠资源高值利用技术、钠离子电池技术、盐湖淡水开发利用技术等。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beforeLines="50" w:after="120" w:afterLines="50" w:line="576" w:lineRule="exact"/>
        <w:ind w:firstLine="640" w:firstLineChars="200"/>
        <w:textAlignment w:val="auto"/>
        <w:rPr>
          <w:rFonts w:hint="eastAsia" w:eastAsia="黑体"/>
          <w:b w:val="0"/>
          <w:bCs/>
          <w:sz w:val="32"/>
          <w:szCs w:val="28"/>
        </w:rPr>
      </w:pPr>
      <w:r>
        <w:rPr>
          <w:rFonts w:hint="eastAsia" w:eastAsia="黑体"/>
          <w:b w:val="0"/>
          <w:bCs/>
          <w:sz w:val="32"/>
          <w:szCs w:val="28"/>
        </w:rPr>
        <w:t>五、联系方式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联系人：仲斌年、杜鹏理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通讯地址：青海省西宁市城北区宁大路251号，青海大学盐湖化工大型系列研究设施建设工作推进组办公室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邮编：</w:t>
      </w:r>
      <w:r>
        <w:rPr>
          <w:rFonts w:hint="default" w:ascii="Times New Roman" w:hAnsi="Times New Roman" w:eastAsia="仿宋_GB2312" w:cs="Times New Roman"/>
          <w:sz w:val="32"/>
          <w:szCs w:val="32"/>
        </w:rPr>
        <w:t>810016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电话：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18997198798、18856034388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电子信箱：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saltlake@qhu.edu.cn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beforeLines="50" w:after="120" w:afterLines="50" w:line="576" w:lineRule="exact"/>
        <w:ind w:firstLine="640" w:firstLineChars="200"/>
        <w:textAlignment w:val="auto"/>
        <w:rPr>
          <w:rFonts w:hint="eastAsia" w:eastAsia="黑体"/>
          <w:b w:val="0"/>
          <w:bCs/>
          <w:sz w:val="32"/>
          <w:szCs w:val="28"/>
        </w:rPr>
      </w:pPr>
      <w:r>
        <w:rPr>
          <w:rFonts w:hint="eastAsia" w:eastAsia="黑体"/>
          <w:b w:val="0"/>
          <w:bCs/>
          <w:sz w:val="32"/>
          <w:szCs w:val="28"/>
        </w:rPr>
        <w:t>六、申报时间</w:t>
      </w:r>
    </w:p>
    <w:p>
      <w:pPr>
        <w:spacing w:line="576" w:lineRule="exact"/>
        <w:ind w:firstLine="640" w:firstLineChars="200"/>
        <w:rPr>
          <w:rFonts w:hint="eastAsia" w:eastAsia="仿宋"/>
          <w:sz w:val="28"/>
          <w:szCs w:val="28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2023</w:t>
      </w:r>
      <w:r>
        <w:rPr>
          <w:rFonts w:hint="eastAsia" w:ascii="仿宋_GB2312" w:hAnsi="仿宋_GB2312" w:eastAsia="仿宋_GB2312" w:cs="仿宋_GB2312"/>
          <w:sz w:val="32"/>
          <w:szCs w:val="32"/>
        </w:rPr>
        <w:t>年度项目申请截止受理日期为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2023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30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  <w:r>
        <w:rPr>
          <w:rFonts w:hint="eastAsia" w:eastAsia="仿宋"/>
          <w:sz w:val="28"/>
          <w:szCs w:val="28"/>
        </w:rPr>
        <w:t>。</w:t>
      </w:r>
    </w:p>
    <w:p>
      <w:pPr>
        <w:spacing w:line="576" w:lineRule="exact"/>
        <w:ind w:firstLine="560" w:firstLineChars="200"/>
        <w:rPr>
          <w:rFonts w:hint="eastAsia" w:eastAsia="仿宋"/>
          <w:sz w:val="28"/>
          <w:szCs w:val="28"/>
        </w:rPr>
      </w:pPr>
    </w:p>
    <w:p>
      <w:pPr>
        <w:spacing w:line="576" w:lineRule="exact"/>
        <w:ind w:firstLine="560" w:firstLineChars="200"/>
        <w:rPr>
          <w:rFonts w:hint="eastAsia" w:eastAsia="仿宋"/>
          <w:sz w:val="28"/>
          <w:szCs w:val="28"/>
        </w:rPr>
      </w:pPr>
    </w:p>
    <w:p>
      <w:pPr>
        <w:spacing w:line="576" w:lineRule="exact"/>
        <w:ind w:firstLine="640" w:firstLineChars="200"/>
        <w:jc w:val="center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青海大学化工学院（代）</w:t>
      </w:r>
    </w:p>
    <w:p>
      <w:pPr>
        <w:spacing w:line="576" w:lineRule="exact"/>
        <w:ind w:firstLine="5440" w:firstLineChars="1700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2023年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1日</w:t>
      </w:r>
    </w:p>
    <w:p>
      <w:pPr>
        <w:spacing w:line="576" w:lineRule="exact"/>
        <w:rPr>
          <w:rFonts w:hint="eastAsia" w:eastAsia="仿宋"/>
          <w:sz w:val="28"/>
          <w:szCs w:val="28"/>
        </w:rPr>
      </w:pPr>
      <w:bookmarkStart w:id="2" w:name="_GoBack"/>
      <w:bookmarkEnd w:id="2"/>
    </w:p>
    <w:p>
      <w:pPr>
        <w:spacing w:line="576" w:lineRule="exact"/>
        <w:ind w:firstLine="560" w:firstLineChars="200"/>
        <w:rPr>
          <w:rFonts w:hint="eastAsia" w:eastAsia="仿宋"/>
          <w:sz w:val="28"/>
          <w:szCs w:val="28"/>
        </w:rPr>
      </w:pPr>
    </w:p>
    <w:p>
      <w:pPr>
        <w:spacing w:line="576" w:lineRule="exact"/>
        <w:ind w:firstLine="560" w:firstLineChars="200"/>
        <w:rPr>
          <w:rFonts w:hint="eastAsia" w:eastAsia="仿宋"/>
          <w:sz w:val="28"/>
          <w:szCs w:val="28"/>
        </w:rPr>
      </w:pPr>
    </w:p>
    <w:p>
      <w:pPr>
        <w:spacing w:line="576" w:lineRule="exact"/>
        <w:ind w:firstLine="640" w:firstLineChars="200"/>
        <w:jc w:val="center"/>
        <w:rPr>
          <w:rFonts w:eastAsia="仿宋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</w:t>
      </w:r>
    </w:p>
    <w:sectPr>
      <w:footerReference r:id="rId3" w:type="default"/>
      <w:pgSz w:w="11920" w:h="16840"/>
      <w:pgMar w:top="1440" w:right="1560" w:bottom="1380" w:left="1680" w:header="0" w:footer="1184" w:gutter="0"/>
      <w:cols w:equalWidth="0" w:num="1">
        <w:col w:w="868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autoSpaceDE w:val="0"/>
      <w:autoSpaceDN w:val="0"/>
      <w:adjustRightInd w:val="0"/>
      <w:spacing w:line="200" w:lineRule="exact"/>
      <w:jc w:val="left"/>
      <w:rPr>
        <w:kern w:val="0"/>
        <w:sz w:val="20"/>
        <w:szCs w:val="20"/>
      </w:rPr>
    </w:pPr>
    <w:r>
      <mc:AlternateContent>
        <mc:Choice Requires="wps">
          <w:drawing>
            <wp:anchor distT="0" distB="0" distL="114300" distR="114300" simplePos="0" relativeHeight="251659264" behindDoc="1" locked="0" layoutInCell="0" allowOverlap="1">
              <wp:simplePos x="0" y="0"/>
              <wp:positionH relativeFrom="page">
                <wp:posOffset>3726815</wp:posOffset>
              </wp:positionH>
              <wp:positionV relativeFrom="page">
                <wp:posOffset>9800590</wp:posOffset>
              </wp:positionV>
              <wp:extent cx="107950" cy="1397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795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autoSpaceDE w:val="0"/>
                            <w:autoSpaceDN w:val="0"/>
                            <w:adjustRightInd w:val="0"/>
                            <w:spacing w:line="204" w:lineRule="exact"/>
                            <w:ind w:left="40" w:right="-20"/>
                            <w:jc w:val="left"/>
                            <w:rPr>
                              <w:kern w:val="0"/>
                              <w:sz w:val="18"/>
                              <w:szCs w:val="18"/>
                            </w:rPr>
                          </w:pPr>
                          <w:r>
                            <w:rPr>
                              <w:kern w:val="0"/>
                              <w:sz w:val="18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kern w:val="0"/>
                              <w:sz w:val="18"/>
                              <w:szCs w:val="18"/>
                            </w:rPr>
                            <w:instrText xml:space="preserve"> PAGE </w:instrText>
                          </w:r>
                          <w:r>
                            <w:rPr>
                              <w:kern w:val="0"/>
                              <w:sz w:val="18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kern w:val="0"/>
                              <w:sz w:val="18"/>
                              <w:szCs w:val="18"/>
                            </w:rPr>
                            <w:t>4</w:t>
                          </w:r>
                          <w:r>
                            <w:rPr>
                              <w:kern w:val="0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1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293.45pt;margin-top:771.7pt;height:11pt;width:8.5pt;mso-position-horizontal-relative:page;mso-position-vertical-relative:page;z-index:-251657216;mso-width-relative:page;mso-height-relative:page;" filled="f" stroked="f" coordsize="21600,21600" o:allowincell="f" o:gfxdata="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autoSpaceDE w:val="0"/>
                      <w:autoSpaceDN w:val="0"/>
                      <w:adjustRightInd w:val="0"/>
                      <w:spacing w:line="204" w:lineRule="exact"/>
                      <w:ind w:left="40" w:right="-20"/>
                      <w:jc w:val="left"/>
                      <w:rPr>
                        <w:kern w:val="0"/>
                        <w:sz w:val="18"/>
                        <w:szCs w:val="18"/>
                      </w:rPr>
                    </w:pPr>
                    <w:r>
                      <w:rPr>
                        <w:kern w:val="0"/>
                        <w:sz w:val="18"/>
                        <w:szCs w:val="18"/>
                      </w:rPr>
                      <w:fldChar w:fldCharType="begin"/>
                    </w:r>
                    <w:r>
                      <w:rPr>
                        <w:kern w:val="0"/>
                        <w:sz w:val="18"/>
                        <w:szCs w:val="18"/>
                      </w:rPr>
                      <w:instrText xml:space="preserve"> PAGE </w:instrText>
                    </w:r>
                    <w:r>
                      <w:rPr>
                        <w:kern w:val="0"/>
                        <w:sz w:val="18"/>
                        <w:szCs w:val="18"/>
                      </w:rPr>
                      <w:fldChar w:fldCharType="separate"/>
                    </w:r>
                    <w:r>
                      <w:rPr>
                        <w:kern w:val="0"/>
                        <w:sz w:val="18"/>
                        <w:szCs w:val="18"/>
                      </w:rPr>
                      <w:t>4</w:t>
                    </w:r>
                    <w:r>
                      <w:rPr>
                        <w:kern w:val="0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20"/>
  <w:drawingGridHorizontalSpacing w:val="120"/>
  <w:drawingGridVerticalSpacing w:val="120"/>
  <w:displayHorizontalDrawingGridEvery w:val="0"/>
  <w:displayVerticalDrawingGridEvery w:val="2"/>
  <w:doNotUseMarginsForDrawingGridOrigin w:val="1"/>
  <w:drawingGridHorizontalOrigin w:val="1800"/>
  <w:drawingGridVerticalOrigin w:val="1440"/>
  <w:doNotShadeFormData w:val="1"/>
  <w:characterSpacingControl w:val="doNotCompress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FmMDViYWU3OTZjYThmOTI2NjYwNzlkZGQxZmNmYjAifQ=="/>
  </w:docVars>
  <w:rsids>
    <w:rsidRoot w:val="00E62255"/>
    <w:rsid w:val="00016CD5"/>
    <w:rsid w:val="00025834"/>
    <w:rsid w:val="00065CC1"/>
    <w:rsid w:val="00083B8C"/>
    <w:rsid w:val="00095972"/>
    <w:rsid w:val="00095C78"/>
    <w:rsid w:val="000E67EB"/>
    <w:rsid w:val="000F7459"/>
    <w:rsid w:val="00125067"/>
    <w:rsid w:val="001324D2"/>
    <w:rsid w:val="00157BD3"/>
    <w:rsid w:val="0016770B"/>
    <w:rsid w:val="001A5F4B"/>
    <w:rsid w:val="001B4689"/>
    <w:rsid w:val="001C4F67"/>
    <w:rsid w:val="001D2416"/>
    <w:rsid w:val="002315DA"/>
    <w:rsid w:val="0024545F"/>
    <w:rsid w:val="0024630B"/>
    <w:rsid w:val="00281C00"/>
    <w:rsid w:val="00290241"/>
    <w:rsid w:val="002967DB"/>
    <w:rsid w:val="002C2F02"/>
    <w:rsid w:val="002C5C54"/>
    <w:rsid w:val="002C6B07"/>
    <w:rsid w:val="002D448F"/>
    <w:rsid w:val="00302DA7"/>
    <w:rsid w:val="00307460"/>
    <w:rsid w:val="00334260"/>
    <w:rsid w:val="00346CCD"/>
    <w:rsid w:val="00366F71"/>
    <w:rsid w:val="003736A7"/>
    <w:rsid w:val="003932A8"/>
    <w:rsid w:val="003968EB"/>
    <w:rsid w:val="003F0A2D"/>
    <w:rsid w:val="003F58D7"/>
    <w:rsid w:val="00426042"/>
    <w:rsid w:val="00491895"/>
    <w:rsid w:val="004B46EB"/>
    <w:rsid w:val="004B7090"/>
    <w:rsid w:val="004C3BFF"/>
    <w:rsid w:val="00515486"/>
    <w:rsid w:val="005674EC"/>
    <w:rsid w:val="005E304B"/>
    <w:rsid w:val="005E407F"/>
    <w:rsid w:val="0060370E"/>
    <w:rsid w:val="006159C7"/>
    <w:rsid w:val="0068337E"/>
    <w:rsid w:val="006864A6"/>
    <w:rsid w:val="00686C9D"/>
    <w:rsid w:val="006A3F15"/>
    <w:rsid w:val="006A785F"/>
    <w:rsid w:val="006F7513"/>
    <w:rsid w:val="0071151A"/>
    <w:rsid w:val="00711E57"/>
    <w:rsid w:val="007139B6"/>
    <w:rsid w:val="007439B3"/>
    <w:rsid w:val="0075312B"/>
    <w:rsid w:val="00772E05"/>
    <w:rsid w:val="00772EE3"/>
    <w:rsid w:val="00775D04"/>
    <w:rsid w:val="007B1C4C"/>
    <w:rsid w:val="007B7F0C"/>
    <w:rsid w:val="007C348D"/>
    <w:rsid w:val="007C3F1F"/>
    <w:rsid w:val="007C4831"/>
    <w:rsid w:val="008C0027"/>
    <w:rsid w:val="008E2051"/>
    <w:rsid w:val="009358D2"/>
    <w:rsid w:val="00980805"/>
    <w:rsid w:val="00985908"/>
    <w:rsid w:val="009C2C76"/>
    <w:rsid w:val="00A43516"/>
    <w:rsid w:val="00A67B91"/>
    <w:rsid w:val="00AB4009"/>
    <w:rsid w:val="00AB400B"/>
    <w:rsid w:val="00AC0924"/>
    <w:rsid w:val="00AC42B3"/>
    <w:rsid w:val="00B15CFE"/>
    <w:rsid w:val="00B81400"/>
    <w:rsid w:val="00B84A75"/>
    <w:rsid w:val="00C1500F"/>
    <w:rsid w:val="00C236F8"/>
    <w:rsid w:val="00C30B08"/>
    <w:rsid w:val="00C813F9"/>
    <w:rsid w:val="00CA2005"/>
    <w:rsid w:val="00D42F98"/>
    <w:rsid w:val="00D5309B"/>
    <w:rsid w:val="00D618B8"/>
    <w:rsid w:val="00D72035"/>
    <w:rsid w:val="00DA2818"/>
    <w:rsid w:val="00DC65D3"/>
    <w:rsid w:val="00DC6D36"/>
    <w:rsid w:val="00DE464E"/>
    <w:rsid w:val="00E33752"/>
    <w:rsid w:val="00E608C8"/>
    <w:rsid w:val="00E62255"/>
    <w:rsid w:val="00E861AD"/>
    <w:rsid w:val="00ED11CB"/>
    <w:rsid w:val="00ED2B45"/>
    <w:rsid w:val="00EE0083"/>
    <w:rsid w:val="00EE7CB0"/>
    <w:rsid w:val="00EF48DD"/>
    <w:rsid w:val="00F0574A"/>
    <w:rsid w:val="00F141DD"/>
    <w:rsid w:val="00F22FE6"/>
    <w:rsid w:val="00F52674"/>
    <w:rsid w:val="00F9605D"/>
    <w:rsid w:val="00FC40FE"/>
    <w:rsid w:val="00FC5953"/>
    <w:rsid w:val="00FE6FCF"/>
    <w:rsid w:val="01CE5A40"/>
    <w:rsid w:val="0614305B"/>
    <w:rsid w:val="06CA66F9"/>
    <w:rsid w:val="0A441E85"/>
    <w:rsid w:val="0DA815B3"/>
    <w:rsid w:val="171E28E6"/>
    <w:rsid w:val="27E4019F"/>
    <w:rsid w:val="28FB4202"/>
    <w:rsid w:val="296460FB"/>
    <w:rsid w:val="35C425B7"/>
    <w:rsid w:val="367A17DE"/>
    <w:rsid w:val="3B0E7290"/>
    <w:rsid w:val="3D934282"/>
    <w:rsid w:val="3EF81910"/>
    <w:rsid w:val="3F37440D"/>
    <w:rsid w:val="3FD544E6"/>
    <w:rsid w:val="45100EFF"/>
    <w:rsid w:val="468B4FF2"/>
    <w:rsid w:val="49331397"/>
    <w:rsid w:val="4C286E40"/>
    <w:rsid w:val="4D1E0AF2"/>
    <w:rsid w:val="5B3529B9"/>
    <w:rsid w:val="5BD8030E"/>
    <w:rsid w:val="687218D9"/>
    <w:rsid w:val="6A684744"/>
    <w:rsid w:val="74F07788"/>
    <w:rsid w:val="7AD87261"/>
    <w:rsid w:val="7C0F0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link w:val="12"/>
    <w:semiHidden/>
    <w:unhideWhenUsed/>
    <w:qFormat/>
    <w:uiPriority w:val="99"/>
    <w:pPr>
      <w:ind w:left="100" w:leftChars="2500"/>
    </w:pPr>
  </w:style>
  <w:style w:type="paragraph" w:styleId="4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9">
    <w:name w:val="标题 1 字符"/>
    <w:link w:val="2"/>
    <w:qFormat/>
    <w:locked/>
    <w:uiPriority w:val="9"/>
    <w:rPr>
      <w:rFonts w:cs="Times New Roman"/>
      <w:b/>
      <w:bCs/>
      <w:kern w:val="44"/>
      <w:sz w:val="44"/>
      <w:szCs w:val="44"/>
    </w:rPr>
  </w:style>
  <w:style w:type="character" w:customStyle="1" w:styleId="10">
    <w:name w:val="页眉 字符"/>
    <w:link w:val="6"/>
    <w:qFormat/>
    <w:locked/>
    <w:uiPriority w:val="99"/>
    <w:rPr>
      <w:rFonts w:cs="Times New Roman"/>
      <w:sz w:val="18"/>
      <w:szCs w:val="18"/>
    </w:rPr>
  </w:style>
  <w:style w:type="character" w:customStyle="1" w:styleId="11">
    <w:name w:val="页脚 字符"/>
    <w:link w:val="5"/>
    <w:qFormat/>
    <w:locked/>
    <w:uiPriority w:val="99"/>
    <w:rPr>
      <w:rFonts w:cs="Times New Roman"/>
      <w:sz w:val="18"/>
      <w:szCs w:val="18"/>
    </w:rPr>
  </w:style>
  <w:style w:type="character" w:customStyle="1" w:styleId="12">
    <w:name w:val="日期 字符"/>
    <w:link w:val="3"/>
    <w:semiHidden/>
    <w:qFormat/>
    <w:locked/>
    <w:uiPriority w:val="99"/>
    <w:rPr>
      <w:rFonts w:cs="Times New Roman"/>
    </w:rPr>
  </w:style>
  <w:style w:type="paragraph" w:customStyle="1" w:styleId="13">
    <w:name w:val="样式1"/>
    <w:basedOn w:val="2"/>
    <w:link w:val="14"/>
    <w:qFormat/>
    <w:uiPriority w:val="0"/>
    <w:pPr>
      <w:spacing w:line="560" w:lineRule="exact"/>
    </w:pPr>
    <w:rPr>
      <w:rFonts w:eastAsia="仿宋"/>
      <w:sz w:val="30"/>
      <w:szCs w:val="28"/>
    </w:rPr>
  </w:style>
  <w:style w:type="character" w:customStyle="1" w:styleId="14">
    <w:name w:val="样式1 Char"/>
    <w:link w:val="13"/>
    <w:qFormat/>
    <w:locked/>
    <w:uiPriority w:val="0"/>
    <w:rPr>
      <w:rFonts w:ascii="Times New Roman" w:hAnsi="Times New Roman" w:eastAsia="仿宋" w:cs="Times New Roman"/>
      <w:b/>
      <w:bCs/>
      <w:kern w:val="44"/>
      <w:sz w:val="28"/>
      <w:szCs w:val="28"/>
    </w:rPr>
  </w:style>
  <w:style w:type="paragraph" w:styleId="15">
    <w:name w:val="List Paragraph"/>
    <w:basedOn w:val="1"/>
    <w:qFormat/>
    <w:uiPriority w:val="34"/>
    <w:pPr>
      <w:ind w:firstLine="420" w:firstLineChars="200"/>
    </w:pPr>
  </w:style>
  <w:style w:type="character" w:customStyle="1" w:styleId="16">
    <w:name w:val="批注框文本 字符"/>
    <w:link w:val="4"/>
    <w:semiHidden/>
    <w:qFormat/>
    <w:locked/>
    <w:uiPriority w:val="99"/>
    <w:rPr>
      <w:rFonts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1469</Words>
  <Characters>1563</Characters>
  <Lines>11</Lines>
  <Paragraphs>3</Paragraphs>
  <TotalTime>12</TotalTime>
  <ScaleCrop>false</ScaleCrop>
  <LinksUpToDate>false</LinksUpToDate>
  <CharactersWithSpaces>1589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2023-06-02T03:51:00Z</dcterms:created>
  <dc:creator>Think</dc:creator>
  <cp:lastModifiedBy>下一秒的回眸</cp:lastModifiedBy>
  <cp:lastPrinted>2023-07-07T07:52:20Z</cp:lastPrinted>
  <dcterms:modified xsi:type="dcterms:W3CDTF">2023-07-07T07:56:40Z</dcterms:modified>
  <dc:title>省部共建分离膜与膜过程国家重点实验室管理办法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152DF5F7438E4FACB00ACA6067B69F8B_13</vt:lpwstr>
  </property>
</Properties>
</file>