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line="576" w:lineRule="exact"/>
        <w:ind w:left="0" w:right="0"/>
        <w:jc w:val="both"/>
        <w:rPr>
          <w:rFonts w:hint="eastAsia" w:ascii="黑体" w:hAnsi="黑体" w:eastAsia="黑体" w:cs="黑体"/>
          <w:b w:val="0"/>
          <w:bCs/>
          <w:kern w:val="2"/>
          <w:sz w:val="32"/>
          <w:szCs w:val="32"/>
          <w:lang w:val="en-US" w:eastAsia="zh-CN" w:bidi="ar"/>
        </w:rPr>
      </w:pPr>
      <w:r>
        <w:rPr>
          <w:rFonts w:hint="eastAsia" w:ascii="黑体" w:hAnsi="黑体" w:eastAsia="黑体" w:cs="黑体"/>
          <w:b w:val="0"/>
          <w:bCs/>
          <w:kern w:val="2"/>
          <w:sz w:val="32"/>
          <w:szCs w:val="32"/>
          <w:lang w:val="en-US" w:eastAsia="zh-CN" w:bidi="ar"/>
        </w:rPr>
        <w:t>附件</w:t>
      </w:r>
      <w:r>
        <w:rPr>
          <w:rFonts w:hint="eastAsia" w:ascii="黑体" w:hAnsi="黑体" w:eastAsia="黑体" w:cs="黑体"/>
          <w:b w:val="0"/>
          <w:bCs/>
          <w:kern w:val="2"/>
          <w:sz w:val="32"/>
          <w:szCs w:val="32"/>
          <w:lang w:val="en-US" w:eastAsia="zh-CN" w:bidi="ar"/>
        </w:rPr>
        <w:t>1</w:t>
      </w:r>
    </w:p>
    <w:p>
      <w:pPr>
        <w:keepNext w:val="0"/>
        <w:keepLines w:val="0"/>
        <w:widowControl w:val="0"/>
        <w:suppressLineNumbers w:val="0"/>
        <w:spacing w:before="0" w:beforeAutospacing="0" w:after="0" w:afterAutospacing="0" w:line="576" w:lineRule="exact"/>
        <w:ind w:left="0" w:right="0"/>
        <w:jc w:val="both"/>
        <w:rPr>
          <w:rFonts w:hint="eastAsia" w:ascii="黑体" w:hAnsi="黑体" w:eastAsia="黑体" w:cs="黑体"/>
          <w:b w:val="0"/>
          <w:bCs/>
          <w:kern w:val="2"/>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sz w:val="44"/>
          <w:szCs w:val="44"/>
        </w:rPr>
      </w:pPr>
      <w:r>
        <w:rPr>
          <w:rFonts w:hint="eastAsia" w:asciiTheme="majorEastAsia" w:hAnsiTheme="majorEastAsia" w:eastAsiaTheme="majorEastAsia" w:cstheme="majorEastAsia"/>
          <w:b/>
          <w:sz w:val="44"/>
          <w:szCs w:val="44"/>
        </w:rPr>
        <w:t>青海大学</w:t>
      </w:r>
      <w:r>
        <w:rPr>
          <w:rFonts w:hint="eastAsia" w:asciiTheme="majorEastAsia" w:hAnsiTheme="majorEastAsia" w:eastAsiaTheme="majorEastAsia" w:cstheme="majorEastAsia"/>
          <w:b/>
          <w:sz w:val="44"/>
          <w:szCs w:val="44"/>
          <w:lang w:val="en-US" w:eastAsia="zh-CN"/>
        </w:rPr>
        <w:t>部省合建</w:t>
      </w:r>
      <w:r>
        <w:rPr>
          <w:rFonts w:hint="eastAsia" w:asciiTheme="majorEastAsia" w:hAnsiTheme="majorEastAsia" w:eastAsiaTheme="majorEastAsia" w:cstheme="majorEastAsia"/>
          <w:b/>
          <w:sz w:val="44"/>
          <w:szCs w:val="44"/>
        </w:rPr>
        <w:t>盐湖化工大型系列研究设施</w:t>
      </w:r>
      <w:bookmarkStart w:id="1" w:name="_GoBack"/>
      <w:bookmarkEnd w:id="1"/>
      <w:r>
        <w:rPr>
          <w:rFonts w:hint="eastAsia" w:asciiTheme="majorEastAsia" w:hAnsiTheme="majorEastAsia" w:eastAsiaTheme="majorEastAsia" w:cstheme="majorEastAsia"/>
          <w:b/>
          <w:sz w:val="44"/>
          <w:szCs w:val="44"/>
        </w:rPr>
        <w:t>自主研究课题管理办法</w:t>
      </w:r>
      <w:bookmarkStart w:id="0" w:name="_Hlk134523835"/>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2"/>
          <w:szCs w:val="24"/>
        </w:rPr>
      </w:pPr>
      <w:r>
        <w:rPr>
          <w:rFonts w:hint="eastAsia" w:ascii="仿宋_GB2312" w:hAnsi="仿宋_GB2312"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2023</w:t>
      </w:r>
      <w:r>
        <w:rPr>
          <w:rFonts w:hint="eastAsia" w:ascii="仿宋_GB2312" w:hAnsi="仿宋_GB2312" w:eastAsia="仿宋_GB2312" w:cs="仿宋_GB2312"/>
          <w:kern w:val="2"/>
          <w:sz w:val="32"/>
          <w:szCs w:val="32"/>
          <w:lang w:val="en-US" w:eastAsia="zh-CN" w:bidi="ar"/>
        </w:rPr>
        <w:t>年度）</w:t>
      </w:r>
    </w:p>
    <w:bookmarkEnd w:id="0"/>
    <w:p>
      <w:pPr>
        <w:keepNext w:val="0"/>
        <w:keepLines w:val="0"/>
        <w:pageBreakBefore w:val="0"/>
        <w:widowControl/>
        <w:kinsoku/>
        <w:wordWrap/>
        <w:overflowPunct/>
        <w:topLinePunct w:val="0"/>
        <w:autoSpaceDE/>
        <w:autoSpaceDN/>
        <w:bidi w:val="0"/>
        <w:adjustRightInd/>
        <w:snapToGrid w:val="0"/>
        <w:spacing w:line="576" w:lineRule="exact"/>
        <w:ind w:firstLine="640" w:firstLineChars="200"/>
        <w:textAlignment w:val="auto"/>
        <w:rPr>
          <w:rFonts w:ascii="宋体" w:hAnsi="宋体" w:eastAsia="仿宋" w:cs="宋体"/>
          <w:kern w:val="0"/>
          <w:sz w:val="28"/>
          <w:szCs w:val="28"/>
        </w:rPr>
      </w:pPr>
      <w:r>
        <w:rPr>
          <w:rFonts w:hint="eastAsia" w:ascii="仿宋_GB2312" w:hAnsi="仿宋_GB2312" w:eastAsia="仿宋_GB2312" w:cs="仿宋_GB2312"/>
          <w:color w:val="000000"/>
          <w:kern w:val="0"/>
          <w:sz w:val="32"/>
          <w:szCs w:val="32"/>
        </w:rPr>
        <w:t>为推动青海盐湖化工和盐湖资源综合利用领域的科学研究与区域经济和谐稳步发展，发挥青海大学</w:t>
      </w:r>
      <w:r>
        <w:rPr>
          <w:rFonts w:hint="eastAsia" w:ascii="仿宋_GB2312" w:hAnsi="仿宋_GB2312" w:eastAsia="仿宋_GB2312" w:cs="仿宋_GB2312"/>
          <w:color w:val="000000"/>
          <w:kern w:val="0"/>
          <w:sz w:val="32"/>
          <w:szCs w:val="32"/>
          <w:lang w:val="en-US" w:eastAsia="zh-CN"/>
        </w:rPr>
        <w:t>部省合建</w:t>
      </w:r>
      <w:r>
        <w:rPr>
          <w:rFonts w:hint="eastAsia" w:ascii="仿宋_GB2312" w:hAnsi="仿宋_GB2312" w:eastAsia="仿宋_GB2312" w:cs="仿宋_GB2312"/>
          <w:color w:val="000000"/>
          <w:kern w:val="0"/>
          <w:sz w:val="32"/>
          <w:szCs w:val="32"/>
        </w:rPr>
        <w:t>盐湖化工大型系列研究设施（以下简称“大型设施”）高层次人才队伍建设作用，发现和培养本领域的科技人才，大型设施根据《青海大学</w:t>
      </w:r>
      <w:r>
        <w:rPr>
          <w:rFonts w:hint="eastAsia" w:ascii="仿宋_GB2312" w:hAnsi="仿宋_GB2312" w:eastAsia="仿宋_GB2312" w:cs="仿宋_GB2312"/>
          <w:color w:val="000000"/>
          <w:kern w:val="0"/>
          <w:sz w:val="32"/>
          <w:szCs w:val="32"/>
          <w:lang w:val="en-US" w:eastAsia="zh-CN"/>
        </w:rPr>
        <w:t>部省合建</w:t>
      </w:r>
      <w:r>
        <w:rPr>
          <w:rFonts w:hint="eastAsia" w:ascii="仿宋_GB2312" w:hAnsi="仿宋_GB2312" w:eastAsia="仿宋_GB2312" w:cs="仿宋_GB2312"/>
          <w:color w:val="000000"/>
          <w:kern w:val="0"/>
          <w:sz w:val="32"/>
          <w:szCs w:val="32"/>
        </w:rPr>
        <w:t>盐湖化工大型系列研究设施建设方案》设立自主研究课题，并制定本管理办法。</w:t>
      </w:r>
    </w:p>
    <w:p>
      <w:pPr>
        <w:keepNext w:val="0"/>
        <w:keepLines w:val="0"/>
        <w:pageBreakBefore w:val="0"/>
        <w:widowControl/>
        <w:kinsoku/>
        <w:wordWrap/>
        <w:overflowPunct/>
        <w:topLinePunct w:val="0"/>
        <w:autoSpaceDE/>
        <w:autoSpaceDN/>
        <w:bidi w:val="0"/>
        <w:adjustRightInd/>
        <w:snapToGrid w:val="0"/>
        <w:spacing w:line="576" w:lineRule="exact"/>
        <w:ind w:firstLine="640" w:firstLineChars="200"/>
        <w:textAlignment w:val="auto"/>
        <w:outlineLvl w:val="1"/>
        <w:rPr>
          <w:rFonts w:hint="eastAsia" w:ascii="黑体" w:hAnsi="黑体" w:eastAsia="黑体" w:cs="黑体"/>
          <w:kern w:val="0"/>
          <w:sz w:val="32"/>
          <w:szCs w:val="32"/>
        </w:rPr>
      </w:pPr>
      <w:r>
        <w:rPr>
          <w:rFonts w:hint="eastAsia" w:ascii="黑体" w:hAnsi="黑体" w:eastAsia="黑体" w:cs="黑体"/>
          <w:b w:val="0"/>
          <w:bCs/>
          <w:color w:val="000000"/>
          <w:kern w:val="0"/>
          <w:sz w:val="32"/>
          <w:szCs w:val="32"/>
        </w:rPr>
        <w:t xml:space="preserve">一、总体目标 </w:t>
      </w:r>
    </w:p>
    <w:p>
      <w:pPr>
        <w:keepNext w:val="0"/>
        <w:keepLines w:val="0"/>
        <w:pageBreakBefore w:val="0"/>
        <w:widowControl/>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自主研究课题设置方针是“围绕大型设施重点任务和研究方向，符合国家和青海盐湖化工领域的科技和经济发展重大需求，衔接国家和青海省中长期科技发展规划”，以“统筹兼顾，重点支持，和谐发展”为原则，核心目标是要“培植未来，自由探索，支持人才，服务盐湖”。</w:t>
      </w:r>
    </w:p>
    <w:p>
      <w:pPr>
        <w:keepNext w:val="0"/>
        <w:keepLines w:val="0"/>
        <w:pageBreakBefore w:val="0"/>
        <w:widowControl/>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自主课题围绕大型设施重点任务和研究方向，组织大型设施研究团队或个人开展持续深入的系统性研究、补充性研究和探索性研究，增强自主创新能力，增强科技促进经济社会发展的能力，增强盐湖资源前沿研究综合实力，取得在国内外具有重大影响的科学技术成果，促进青海盐湖化工的健康发展。同时，通过自主研究课题的资助和支持，稳定和吸引优秀中青年人才，加大人才培养和引进的力度，建成和保有一支稳定、一流的科研人才队伍。</w:t>
      </w:r>
    </w:p>
    <w:p>
      <w:pPr>
        <w:keepNext w:val="0"/>
        <w:keepLines w:val="0"/>
        <w:pageBreakBefore w:val="0"/>
        <w:widowControl/>
        <w:kinsoku/>
        <w:wordWrap/>
        <w:overflowPunct/>
        <w:topLinePunct w:val="0"/>
        <w:autoSpaceDE/>
        <w:autoSpaceDN/>
        <w:bidi w:val="0"/>
        <w:adjustRightInd/>
        <w:snapToGrid w:val="0"/>
        <w:spacing w:line="576" w:lineRule="exact"/>
        <w:ind w:firstLine="640" w:firstLineChars="200"/>
        <w:textAlignment w:val="auto"/>
        <w:outlineLvl w:val="1"/>
        <w:rPr>
          <w:rFonts w:hint="eastAsia" w:ascii="黑体" w:hAnsi="黑体" w:eastAsia="黑体" w:cs="黑体"/>
          <w:b w:val="0"/>
          <w:bCs/>
          <w:color w:val="000000"/>
          <w:kern w:val="0"/>
          <w:sz w:val="32"/>
          <w:szCs w:val="32"/>
        </w:rPr>
      </w:pPr>
      <w:r>
        <w:rPr>
          <w:rFonts w:hint="eastAsia" w:ascii="黑体" w:hAnsi="黑体" w:eastAsia="黑体" w:cs="黑体"/>
          <w:b w:val="0"/>
          <w:bCs/>
          <w:color w:val="000000"/>
          <w:kern w:val="0"/>
          <w:sz w:val="32"/>
          <w:szCs w:val="32"/>
        </w:rPr>
        <w:t>二、课题要求</w:t>
      </w:r>
    </w:p>
    <w:p>
      <w:pPr>
        <w:keepNext w:val="0"/>
        <w:keepLines w:val="0"/>
        <w:pageBreakBefore w:val="0"/>
        <w:widowControl/>
        <w:kinsoku/>
        <w:wordWrap/>
        <w:overflowPunct/>
        <w:topLinePunct w:val="0"/>
        <w:autoSpaceDE/>
        <w:autoSpaceDN/>
        <w:bidi w:val="0"/>
        <w:adjustRightInd/>
        <w:snapToGrid w:val="0"/>
        <w:spacing w:line="576" w:lineRule="exact"/>
        <w:ind w:firstLine="643"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总体要求</w:t>
      </w:r>
      <w:r>
        <w:rPr>
          <w:rFonts w:hint="eastAsia" w:ascii="仿宋_GB2312" w:hAnsi="仿宋_GB2312" w:eastAsia="仿宋_GB2312" w:cs="仿宋_GB2312"/>
          <w:color w:val="000000"/>
          <w:kern w:val="0"/>
          <w:sz w:val="32"/>
          <w:szCs w:val="32"/>
        </w:rPr>
        <w:t>：自主研究课题侧重于没有得到国家重大、重点研究计划支持的、或者研究意义重大但其他渠道支持强度不足的研究课题，应加强顶层设计，突出重点，围绕大型设施主要任务和研究方向申报，组织团队开展持续深入的系统性研究；少部分课题可开展探索性的自主选题研究，由科研人员或团队自由申请。大型设施将注重支持青年科技人员，鼓励实验技术方法和具有实际应用前景的创新研究。</w:t>
      </w:r>
    </w:p>
    <w:p>
      <w:pPr>
        <w:keepNext w:val="0"/>
        <w:keepLines w:val="0"/>
        <w:pageBreakBefore w:val="0"/>
        <w:widowControl/>
        <w:kinsoku/>
        <w:overflowPunct/>
        <w:topLinePunct w:val="0"/>
        <w:autoSpaceDE/>
        <w:autoSpaceDN/>
        <w:bidi w:val="0"/>
        <w:adjustRightInd/>
        <w:snapToGrid w:val="0"/>
        <w:spacing w:line="576" w:lineRule="exact"/>
        <w:ind w:firstLine="643" w:firstLineChars="200"/>
        <w:textAlignment w:val="auto"/>
        <w:rPr>
          <w:rFonts w:hint="eastAsia" w:ascii="仿宋_GB2312" w:hAnsi="仿宋_GB2312" w:eastAsia="仿宋_GB2312" w:cs="仿宋_GB2312"/>
          <w:b/>
          <w:bCs w:val="0"/>
          <w:kern w:val="0"/>
          <w:sz w:val="32"/>
          <w:szCs w:val="32"/>
        </w:rPr>
      </w:pPr>
      <w:r>
        <w:rPr>
          <w:rFonts w:hint="eastAsia" w:ascii="仿宋_GB2312" w:hAnsi="仿宋_GB2312" w:eastAsia="仿宋_GB2312" w:cs="仿宋_GB2312"/>
          <w:b/>
          <w:bCs w:val="0"/>
          <w:color w:val="000000"/>
          <w:kern w:val="0"/>
          <w:sz w:val="32"/>
          <w:szCs w:val="32"/>
        </w:rPr>
        <w:t>分类要求：</w:t>
      </w:r>
    </w:p>
    <w:p>
      <w:pPr>
        <w:keepNext w:val="0"/>
        <w:keepLines w:val="0"/>
        <w:pageBreakBefore w:val="0"/>
        <w:widowControl/>
        <w:kinsoku/>
        <w:wordWrap/>
        <w:overflowPunct/>
        <w:topLinePunct w:val="0"/>
        <w:autoSpaceDE/>
        <w:autoSpaceDN/>
        <w:bidi w:val="0"/>
        <w:adjustRightInd/>
        <w:snapToGrid w:val="0"/>
        <w:spacing w:line="576" w:lineRule="exact"/>
        <w:ind w:firstLine="643" w:firstLineChars="200"/>
        <w:textAlignment w:val="auto"/>
        <w:outlineLvl w:val="1"/>
        <w:rPr>
          <w:rFonts w:hint="eastAsia" w:ascii="仿宋_GB2312" w:hAnsi="仿宋_GB2312" w:eastAsia="仿宋_GB2312" w:cs="仿宋_GB2312"/>
          <w:kern w:val="0"/>
          <w:sz w:val="32"/>
          <w:szCs w:val="32"/>
        </w:rPr>
      </w:pPr>
      <w:r>
        <w:rPr>
          <w:rFonts w:hint="eastAsia" w:ascii="仿宋_GB2312" w:hAnsi="仿宋_GB2312" w:eastAsia="仿宋_GB2312" w:cs="仿宋_GB2312"/>
          <w:b/>
          <w:color w:val="000000"/>
          <w:kern w:val="0"/>
          <w:sz w:val="32"/>
          <w:szCs w:val="32"/>
        </w:rPr>
        <w:t>（</w:t>
      </w:r>
      <w:r>
        <w:rPr>
          <w:rFonts w:hint="default" w:ascii="Times New Roman" w:hAnsi="Times New Roman" w:eastAsia="仿宋_GB2312" w:cs="Times New Roman"/>
          <w:b/>
          <w:color w:val="000000"/>
          <w:kern w:val="0"/>
          <w:sz w:val="32"/>
          <w:szCs w:val="32"/>
        </w:rPr>
        <w:t>1</w:t>
      </w:r>
      <w:r>
        <w:rPr>
          <w:rFonts w:hint="eastAsia" w:ascii="仿宋_GB2312" w:hAnsi="仿宋_GB2312" w:eastAsia="仿宋_GB2312" w:cs="仿宋_GB2312"/>
          <w:b/>
          <w:color w:val="000000"/>
          <w:kern w:val="0"/>
          <w:sz w:val="32"/>
          <w:szCs w:val="32"/>
        </w:rPr>
        <w:t>）重大课题：</w:t>
      </w:r>
      <w:r>
        <w:rPr>
          <w:rFonts w:hint="eastAsia" w:ascii="仿宋_GB2312" w:hAnsi="仿宋_GB2312" w:eastAsia="仿宋_GB2312" w:cs="仿宋_GB2312"/>
          <w:color w:val="000000"/>
          <w:kern w:val="0"/>
          <w:sz w:val="32"/>
          <w:szCs w:val="32"/>
        </w:rPr>
        <w:t>主要支持参与国际性重大合作、有重大成果产出可能性的课题，紧跟大型设施发展的前沿，主要由产业咨询委员会、学术委员会以及大型设施学科方向带头人及办公室联席会推荐产生。</w:t>
      </w:r>
    </w:p>
    <w:p>
      <w:pPr>
        <w:keepNext w:val="0"/>
        <w:keepLines w:val="0"/>
        <w:pageBreakBefore w:val="0"/>
        <w:widowControl/>
        <w:kinsoku/>
        <w:overflowPunct/>
        <w:topLinePunct w:val="0"/>
        <w:autoSpaceDE/>
        <w:autoSpaceDN/>
        <w:bidi w:val="0"/>
        <w:adjustRightInd/>
        <w:snapToGrid w:val="0"/>
        <w:spacing w:line="576"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color w:val="000000"/>
          <w:kern w:val="0"/>
          <w:sz w:val="32"/>
          <w:szCs w:val="32"/>
        </w:rPr>
        <w:t>（</w:t>
      </w:r>
      <w:r>
        <w:rPr>
          <w:rFonts w:hint="eastAsia" w:ascii="Times New Roman" w:hAnsi="Times New Roman" w:eastAsia="仿宋_GB2312" w:cs="Times New Roman"/>
          <w:b/>
          <w:color w:val="000000"/>
          <w:kern w:val="0"/>
          <w:sz w:val="32"/>
          <w:szCs w:val="32"/>
        </w:rPr>
        <w:t>2</w:t>
      </w:r>
      <w:r>
        <w:rPr>
          <w:rFonts w:hint="eastAsia" w:ascii="仿宋_GB2312" w:hAnsi="仿宋_GB2312" w:eastAsia="仿宋_GB2312" w:cs="仿宋_GB2312"/>
          <w:b/>
          <w:color w:val="000000"/>
          <w:kern w:val="0"/>
          <w:sz w:val="32"/>
          <w:szCs w:val="32"/>
        </w:rPr>
        <w:t>）重点课题：</w:t>
      </w:r>
      <w:r>
        <w:rPr>
          <w:rFonts w:hint="eastAsia" w:ascii="仿宋_GB2312" w:hAnsi="仿宋_GB2312" w:eastAsia="仿宋_GB2312" w:cs="仿宋_GB2312"/>
          <w:color w:val="000000"/>
          <w:kern w:val="0"/>
          <w:sz w:val="32"/>
          <w:szCs w:val="32"/>
        </w:rPr>
        <w:t>特别强调要发挥团队作用，凝炼集中本领域的关键目标和内容，以领域团队形式申报。</w:t>
      </w:r>
    </w:p>
    <w:p>
      <w:pPr>
        <w:keepNext w:val="0"/>
        <w:keepLines w:val="0"/>
        <w:pageBreakBefore w:val="0"/>
        <w:widowControl/>
        <w:kinsoku/>
        <w:overflowPunct/>
        <w:topLinePunct w:val="0"/>
        <w:autoSpaceDE/>
        <w:autoSpaceDN/>
        <w:bidi w:val="0"/>
        <w:adjustRightInd/>
        <w:snapToGrid w:val="0"/>
        <w:spacing w:line="576"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color w:val="000000"/>
          <w:kern w:val="0"/>
          <w:sz w:val="32"/>
          <w:szCs w:val="32"/>
        </w:rPr>
        <w:t>（</w:t>
      </w:r>
      <w:r>
        <w:rPr>
          <w:rFonts w:hint="eastAsia" w:ascii="Times New Roman" w:hAnsi="Times New Roman" w:eastAsia="仿宋_GB2312" w:cs="Times New Roman"/>
          <w:b/>
          <w:color w:val="000000"/>
          <w:kern w:val="0"/>
          <w:sz w:val="32"/>
          <w:szCs w:val="32"/>
        </w:rPr>
        <w:t>3</w:t>
      </w:r>
      <w:r>
        <w:rPr>
          <w:rFonts w:hint="eastAsia" w:ascii="仿宋_GB2312" w:hAnsi="仿宋_GB2312" w:eastAsia="仿宋_GB2312" w:cs="仿宋_GB2312"/>
          <w:b/>
          <w:color w:val="000000"/>
          <w:kern w:val="0"/>
          <w:sz w:val="32"/>
          <w:szCs w:val="32"/>
        </w:rPr>
        <w:t>）自由探索课题：</w:t>
      </w:r>
      <w:r>
        <w:rPr>
          <w:rFonts w:hint="eastAsia" w:ascii="仿宋_GB2312" w:hAnsi="仿宋_GB2312" w:eastAsia="仿宋_GB2312" w:cs="仿宋_GB2312"/>
          <w:color w:val="000000"/>
          <w:kern w:val="0"/>
          <w:sz w:val="32"/>
          <w:szCs w:val="32"/>
        </w:rPr>
        <w:t>要求有创新性、前瞻性，由大型设施科研人员自由申请，大型设施组织相关领域的专家进行评审。</w:t>
      </w:r>
    </w:p>
    <w:p>
      <w:pPr>
        <w:keepNext w:val="0"/>
        <w:keepLines w:val="0"/>
        <w:pageBreakBefore w:val="0"/>
        <w:widowControl/>
        <w:kinsoku/>
        <w:wordWrap/>
        <w:overflowPunct/>
        <w:topLinePunct w:val="0"/>
        <w:autoSpaceDE/>
        <w:autoSpaceDN/>
        <w:bidi w:val="0"/>
        <w:adjustRightInd/>
        <w:snapToGrid w:val="0"/>
        <w:spacing w:line="576" w:lineRule="exact"/>
        <w:ind w:firstLine="640" w:firstLineChars="200"/>
        <w:textAlignment w:val="auto"/>
        <w:outlineLvl w:val="1"/>
        <w:rPr>
          <w:rFonts w:hint="eastAsia" w:ascii="黑体" w:hAnsi="黑体" w:eastAsia="黑体" w:cs="黑体"/>
          <w:b w:val="0"/>
          <w:bCs/>
          <w:color w:val="000000"/>
          <w:kern w:val="0"/>
          <w:sz w:val="32"/>
          <w:szCs w:val="32"/>
        </w:rPr>
      </w:pPr>
      <w:r>
        <w:rPr>
          <w:rFonts w:hint="eastAsia" w:ascii="黑体" w:hAnsi="黑体" w:eastAsia="黑体" w:cs="黑体"/>
          <w:b w:val="0"/>
          <w:bCs/>
          <w:color w:val="000000"/>
          <w:kern w:val="0"/>
          <w:sz w:val="32"/>
          <w:szCs w:val="32"/>
        </w:rPr>
        <w:t>三、经费安排及设立数目</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各年度经费以青海大学当年对大型设施的科研业务费支持为依托，各亚类每年每项经费额度如下表所示：</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4"/>
        <w:gridCol w:w="1752"/>
        <w:gridCol w:w="1851"/>
        <w:gridCol w:w="2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78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名称</w:t>
            </w:r>
          </w:p>
        </w:tc>
        <w:tc>
          <w:tcPr>
            <w:tcW w:w="175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重大课题</w:t>
            </w:r>
          </w:p>
        </w:tc>
        <w:tc>
          <w:tcPr>
            <w:tcW w:w="18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重点课题</w:t>
            </w:r>
          </w:p>
        </w:tc>
        <w:tc>
          <w:tcPr>
            <w:tcW w:w="22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自由探索课题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78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项目数量</w:t>
            </w:r>
          </w:p>
        </w:tc>
        <w:tc>
          <w:tcPr>
            <w:tcW w:w="175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kern w:val="0"/>
                <w:sz w:val="32"/>
                <w:szCs w:val="32"/>
              </w:rPr>
              <w:t>1</w:t>
            </w:r>
            <w:r>
              <w:rPr>
                <w:rFonts w:hint="default"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rPr>
              <w:t>2</w:t>
            </w:r>
          </w:p>
        </w:tc>
        <w:tc>
          <w:tcPr>
            <w:tcW w:w="18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kern w:val="0"/>
                <w:sz w:val="32"/>
                <w:szCs w:val="32"/>
              </w:rPr>
              <w:t>2~3</w:t>
            </w:r>
          </w:p>
        </w:tc>
        <w:tc>
          <w:tcPr>
            <w:tcW w:w="22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kern w:val="0"/>
                <w:sz w:val="32"/>
                <w:szCs w:val="32"/>
              </w:rPr>
              <w:t>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额度</w:t>
            </w:r>
          </w:p>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(万元)</w:t>
            </w:r>
          </w:p>
        </w:tc>
        <w:tc>
          <w:tcPr>
            <w:tcW w:w="175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kern w:val="0"/>
                <w:sz w:val="32"/>
                <w:szCs w:val="32"/>
              </w:rPr>
              <w:t>30-50</w:t>
            </w:r>
          </w:p>
        </w:tc>
        <w:tc>
          <w:tcPr>
            <w:tcW w:w="18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kern w:val="0"/>
                <w:sz w:val="32"/>
                <w:szCs w:val="32"/>
              </w:rPr>
              <w:t>20-30</w:t>
            </w:r>
          </w:p>
        </w:tc>
        <w:tc>
          <w:tcPr>
            <w:tcW w:w="22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kern w:val="0"/>
                <w:sz w:val="32"/>
                <w:szCs w:val="32"/>
              </w:rPr>
              <w:t>5-10</w:t>
            </w:r>
          </w:p>
        </w:tc>
      </w:tr>
    </w:tbl>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每年各亚类课题设立数目将根据总经费额度、申报情况和评审意见等做出具体安排。</w:t>
      </w:r>
    </w:p>
    <w:p>
      <w:pPr>
        <w:keepNext w:val="0"/>
        <w:keepLines w:val="0"/>
        <w:pageBreakBefore w:val="0"/>
        <w:widowControl/>
        <w:kinsoku/>
        <w:wordWrap/>
        <w:overflowPunct/>
        <w:topLinePunct w:val="0"/>
        <w:autoSpaceDE/>
        <w:autoSpaceDN/>
        <w:bidi w:val="0"/>
        <w:adjustRightInd/>
        <w:snapToGrid w:val="0"/>
        <w:spacing w:line="576" w:lineRule="exact"/>
        <w:ind w:firstLine="640" w:firstLineChars="200"/>
        <w:textAlignment w:val="auto"/>
        <w:outlineLvl w:val="1"/>
        <w:rPr>
          <w:rFonts w:hint="eastAsia" w:ascii="黑体" w:hAnsi="黑体" w:eastAsia="黑体" w:cs="黑体"/>
          <w:b w:val="0"/>
          <w:bCs/>
          <w:color w:val="000000"/>
          <w:kern w:val="0"/>
          <w:sz w:val="32"/>
          <w:szCs w:val="32"/>
        </w:rPr>
      </w:pPr>
      <w:r>
        <w:rPr>
          <w:rFonts w:hint="eastAsia" w:ascii="黑体" w:hAnsi="黑体" w:eastAsia="黑体" w:cs="黑体"/>
          <w:b w:val="0"/>
          <w:bCs/>
          <w:color w:val="000000"/>
          <w:kern w:val="0"/>
          <w:sz w:val="32"/>
          <w:szCs w:val="32"/>
        </w:rPr>
        <w:t>四、申报和评审</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在青海大学对大型设施科研业务费连续稳定支持下，大型设施将根据上述既定原则和要求，一般每年</w:t>
      </w:r>
      <w:r>
        <w:rPr>
          <w:rFonts w:hint="default" w:ascii="Times New Roman" w:hAnsi="Times New Roman" w:eastAsia="仿宋_GB2312" w:cs="Times New Roman"/>
          <w:color w:val="000000"/>
          <w:kern w:val="0"/>
          <w:sz w:val="32"/>
          <w:szCs w:val="32"/>
        </w:rPr>
        <w:t>1</w:t>
      </w:r>
      <w:r>
        <w:rPr>
          <w:rFonts w:hint="eastAsia" w:ascii="仿宋_GB2312" w:hAnsi="仿宋_GB2312" w:eastAsia="仿宋_GB2312" w:cs="仿宋_GB2312"/>
          <w:color w:val="000000"/>
          <w:kern w:val="0"/>
          <w:sz w:val="32"/>
          <w:szCs w:val="32"/>
        </w:rPr>
        <w:t>月发布申报通知。大型设施科研人员在接到通知后，需在规定的期限内报送申请书等有关材料。</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大型设施将组织校内外同行专家，成立自主研究课题评审小组，对申报的课题根据情况进行答辩和统一评审，确保决策过程公开透明，最终按照评分高低排序决定资助对象及资助额度，并将具体评审意见以书面形式批复给申请人。</w:t>
      </w:r>
    </w:p>
    <w:p>
      <w:pPr>
        <w:keepNext w:val="0"/>
        <w:keepLines w:val="0"/>
        <w:pageBreakBefore w:val="0"/>
        <w:widowControl/>
        <w:kinsoku/>
        <w:wordWrap/>
        <w:overflowPunct/>
        <w:topLinePunct w:val="0"/>
        <w:autoSpaceDE/>
        <w:autoSpaceDN/>
        <w:bidi w:val="0"/>
        <w:adjustRightInd/>
        <w:snapToGrid w:val="0"/>
        <w:spacing w:line="576" w:lineRule="exact"/>
        <w:ind w:firstLine="640" w:firstLineChars="200"/>
        <w:textAlignment w:val="auto"/>
        <w:outlineLvl w:val="1"/>
        <w:rPr>
          <w:rFonts w:hint="eastAsia" w:ascii="黑体" w:hAnsi="黑体" w:eastAsia="黑体" w:cs="黑体"/>
          <w:b w:val="0"/>
          <w:bCs/>
          <w:color w:val="000000"/>
          <w:kern w:val="0"/>
          <w:sz w:val="32"/>
          <w:szCs w:val="32"/>
        </w:rPr>
      </w:pPr>
      <w:r>
        <w:rPr>
          <w:rFonts w:hint="eastAsia" w:ascii="黑体" w:hAnsi="黑体" w:eastAsia="黑体" w:cs="黑体"/>
          <w:b w:val="0"/>
          <w:bCs/>
          <w:color w:val="000000"/>
          <w:kern w:val="0"/>
          <w:sz w:val="32"/>
          <w:szCs w:val="32"/>
        </w:rPr>
        <w:t>五、中期考核和结题验收</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自主研究课题的管理实行课题负责人负责制。课题执行期一般为</w:t>
      </w:r>
      <w:r>
        <w:rPr>
          <w:rFonts w:hint="eastAsia" w:ascii="Times New Roman" w:hAnsi="Times New Roman" w:eastAsia="仿宋_GB2312" w:cs="Times New Roman"/>
          <w:color w:val="000000"/>
          <w:kern w:val="0"/>
          <w:sz w:val="32"/>
          <w:szCs w:val="32"/>
        </w:rPr>
        <w:t>2</w:t>
      </w:r>
      <w:r>
        <w:rPr>
          <w:rFonts w:hint="eastAsia" w:ascii="仿宋_GB2312" w:hAnsi="仿宋_GB2312" w:eastAsia="仿宋_GB2312" w:cs="仿宋_GB2312"/>
          <w:color w:val="000000"/>
          <w:kern w:val="0"/>
          <w:sz w:val="32"/>
          <w:szCs w:val="32"/>
        </w:rPr>
        <w:t>年，执行一年后进行中期考核，两年后进行结题验收。大型设施将对获得资助的课题统一部署进行中期考核和结题验收，课题申请人及时提交考核材料（结题报告须附有关成果材料），大型设施组成考核专家小组，综合评审，给出考核意见。</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课题的考核和验收参照</w:t>
      </w:r>
      <w:r>
        <w:rPr>
          <w:rFonts w:hint="eastAsia" w:ascii="Times New Roman" w:hAnsi="Times New Roman" w:eastAsia="仿宋_GB2312" w:cs="Times New Roman"/>
          <w:color w:val="000000"/>
          <w:kern w:val="0"/>
          <w:sz w:val="32"/>
          <w:szCs w:val="32"/>
        </w:rPr>
        <w:t>大型</w:t>
      </w:r>
      <w:r>
        <w:rPr>
          <w:rFonts w:hint="eastAsia" w:ascii="仿宋_GB2312" w:hAnsi="仿宋_GB2312" w:eastAsia="仿宋_GB2312" w:cs="仿宋_GB2312"/>
          <w:color w:val="000000"/>
          <w:kern w:val="0"/>
          <w:sz w:val="32"/>
          <w:szCs w:val="32"/>
        </w:rPr>
        <w:t>设施总体要求和评估规则，坚持“鼓励创新、稳定支持、定性评价、宽容失败”的原则。对重大课题侧重考查其是否在一定期限内有重大成果产出的可能性；对重点课题将主要考核成果产出情况；对自由探索课题要求有创新或发现，包括实验技术方法、实验内容等的创新。</w:t>
      </w:r>
    </w:p>
    <w:p>
      <w:pPr>
        <w:keepNext w:val="0"/>
        <w:keepLines w:val="0"/>
        <w:pageBreakBefore w:val="0"/>
        <w:widowControl/>
        <w:kinsoku/>
        <w:wordWrap/>
        <w:overflowPunct/>
        <w:topLinePunct w:val="0"/>
        <w:autoSpaceDE/>
        <w:autoSpaceDN/>
        <w:bidi w:val="0"/>
        <w:adjustRightInd/>
        <w:snapToGrid w:val="0"/>
        <w:spacing w:line="576" w:lineRule="exact"/>
        <w:ind w:firstLine="640" w:firstLineChars="200"/>
        <w:textAlignment w:val="auto"/>
        <w:outlineLvl w:val="1"/>
        <w:rPr>
          <w:rFonts w:hint="eastAsia" w:ascii="黑体" w:hAnsi="黑体" w:eastAsia="黑体" w:cs="黑体"/>
          <w:b w:val="0"/>
          <w:bCs/>
          <w:color w:val="000000"/>
          <w:kern w:val="0"/>
          <w:sz w:val="32"/>
          <w:szCs w:val="32"/>
        </w:rPr>
      </w:pPr>
      <w:r>
        <w:rPr>
          <w:rFonts w:hint="eastAsia" w:ascii="黑体" w:hAnsi="黑体" w:eastAsia="黑体" w:cs="黑体"/>
          <w:b w:val="0"/>
          <w:bCs/>
          <w:color w:val="000000"/>
          <w:kern w:val="0"/>
          <w:sz w:val="32"/>
          <w:szCs w:val="32"/>
        </w:rPr>
        <w:t>六、激励机制</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highlight w:val="yellow"/>
        </w:rPr>
      </w:pPr>
      <w:r>
        <w:rPr>
          <w:rFonts w:hint="eastAsia" w:ascii="仿宋_GB2312" w:hAnsi="仿宋_GB2312" w:eastAsia="仿宋_GB2312" w:cs="仿宋_GB2312"/>
          <w:color w:val="000000"/>
          <w:kern w:val="0"/>
          <w:sz w:val="32"/>
          <w:szCs w:val="32"/>
        </w:rPr>
        <w:t>大型设施原则上要求每项课题要有研究论文产出，但不局限于执行期内，结题后</w:t>
      </w:r>
      <w:r>
        <w:rPr>
          <w:rFonts w:hint="eastAsia" w:ascii="Times New Roman" w:hAnsi="Times New Roman" w:eastAsia="仿宋_GB2312" w:cs="Times New Roman"/>
          <w:color w:val="000000"/>
          <w:kern w:val="0"/>
          <w:sz w:val="32"/>
          <w:szCs w:val="32"/>
        </w:rPr>
        <w:t>1</w:t>
      </w:r>
      <w:r>
        <w:rPr>
          <w:rFonts w:hint="eastAsia" w:ascii="仿宋_GB2312" w:hAnsi="仿宋_GB2312" w:eastAsia="仿宋_GB2312" w:cs="仿宋_GB2312"/>
          <w:color w:val="000000"/>
          <w:kern w:val="0"/>
          <w:sz w:val="32"/>
          <w:szCs w:val="32"/>
        </w:rPr>
        <w:t>年内的产出也可有效计入。在本课题资助下取得的科研成果，需注明“青海大学</w:t>
      </w:r>
      <w:r>
        <w:rPr>
          <w:rFonts w:hint="eastAsia" w:ascii="仿宋_GB2312" w:hAnsi="仿宋_GB2312" w:eastAsia="仿宋_GB2312" w:cs="仿宋_GB2312"/>
          <w:color w:val="000000"/>
          <w:kern w:val="0"/>
          <w:sz w:val="32"/>
          <w:szCs w:val="32"/>
          <w:lang w:val="en-US" w:eastAsia="zh-CN"/>
        </w:rPr>
        <w:t>部省合建</w:t>
      </w:r>
      <w:r>
        <w:rPr>
          <w:rFonts w:hint="eastAsia" w:ascii="仿宋_GB2312" w:hAnsi="仿宋_GB2312" w:eastAsia="仿宋_GB2312" w:cs="仿宋_GB2312"/>
          <w:color w:val="000000"/>
          <w:kern w:val="0"/>
          <w:sz w:val="32"/>
          <w:szCs w:val="32"/>
        </w:rPr>
        <w:t>盐湖化工大型系列研究设施资助”（</w:t>
      </w:r>
      <w:r>
        <w:rPr>
          <w:rFonts w:hint="eastAsia" w:ascii="Times New Roman" w:hAnsi="Times New Roman" w:eastAsia="仿宋_GB2312" w:cs="Times New Roman"/>
          <w:color w:val="000000"/>
          <w:kern w:val="0"/>
          <w:sz w:val="32"/>
          <w:szCs w:val="32"/>
        </w:rPr>
        <w:t>Salt Lake Chemical Engineering Research Complex, Qinghai University</w:t>
      </w:r>
      <w:r>
        <w:rPr>
          <w:rFonts w:hint="eastAsia" w:ascii="仿宋_GB2312" w:hAnsi="仿宋_GB2312" w:eastAsia="仿宋_GB2312" w:cs="仿宋_GB2312"/>
          <w:color w:val="000000"/>
          <w:kern w:val="0"/>
          <w:sz w:val="32"/>
          <w:szCs w:val="32"/>
        </w:rPr>
        <w:t>）。对于课题完成情况好、产出成果多的课题，大型设施将对主持人再次申请的课题优先资助。</w:t>
      </w:r>
    </w:p>
    <w:p>
      <w:pPr>
        <w:keepNext w:val="0"/>
        <w:keepLines w:val="0"/>
        <w:pageBreakBefore w:val="0"/>
        <w:widowControl/>
        <w:kinsoku/>
        <w:wordWrap/>
        <w:overflowPunct/>
        <w:topLinePunct w:val="0"/>
        <w:autoSpaceDE/>
        <w:autoSpaceDN/>
        <w:bidi w:val="0"/>
        <w:adjustRightInd/>
        <w:snapToGrid w:val="0"/>
        <w:spacing w:line="576" w:lineRule="exact"/>
        <w:ind w:firstLine="640" w:firstLineChars="200"/>
        <w:textAlignment w:val="auto"/>
        <w:outlineLvl w:val="1"/>
        <w:rPr>
          <w:rFonts w:hint="eastAsia" w:ascii="黑体" w:hAnsi="黑体" w:eastAsia="黑体" w:cs="黑体"/>
          <w:b w:val="0"/>
          <w:bCs/>
          <w:color w:val="000000"/>
          <w:kern w:val="0"/>
          <w:sz w:val="32"/>
          <w:szCs w:val="32"/>
        </w:rPr>
      </w:pPr>
      <w:r>
        <w:rPr>
          <w:rFonts w:hint="eastAsia" w:ascii="黑体" w:hAnsi="黑体" w:eastAsia="黑体" w:cs="黑体"/>
          <w:b w:val="0"/>
          <w:bCs/>
          <w:color w:val="000000"/>
          <w:kern w:val="0"/>
          <w:sz w:val="32"/>
          <w:szCs w:val="32"/>
        </w:rPr>
        <w:t>七、经费管理</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大型设施经费在具体运行管理中将遵照国家和青海大学的科研项目管理相关规定。科研业务费须是围绕主要任务和研究方向开展持续深入的系统性研究和探索性自主选题研究等发生的费用。具体包括与研究工作直接相关的实验材料费、测试化验加工费、差旅费、出版文献资料费等。在课题预算和实际支出中不得列支校内有工资性收入的人员工资、奖金、津补贴和福利支出。</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本办法自发布之日起施行，由大型设施负责解释。</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rPr>
      </w:pP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此页无正文</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kinsoku/>
        <w:overflowPunct/>
        <w:topLinePunct w:val="0"/>
        <w:autoSpaceDE/>
        <w:autoSpaceDN/>
        <w:bidi w:val="0"/>
        <w:adjustRightInd/>
        <w:snapToGrid w:val="0"/>
        <w:spacing w:line="576" w:lineRule="exact"/>
        <w:jc w:val="center"/>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sz w:val="32"/>
          <w:szCs w:val="32"/>
          <w:lang w:val="en-US" w:eastAsia="zh-CN"/>
        </w:rPr>
        <w:t xml:space="preserve">                            青海大学化工学院（代）</w:t>
      </w:r>
    </w:p>
    <w:p>
      <w:pPr>
        <w:keepNext w:val="0"/>
        <w:keepLines w:val="0"/>
        <w:pageBreakBefore w:val="0"/>
        <w:widowControl/>
        <w:kinsoku/>
        <w:overflowPunct/>
        <w:topLinePunct w:val="0"/>
        <w:autoSpaceDE/>
        <w:autoSpaceDN/>
        <w:bidi w:val="0"/>
        <w:adjustRightInd/>
        <w:snapToGrid w:val="0"/>
        <w:spacing w:line="576" w:lineRule="exact"/>
        <w:ind w:firstLine="5120" w:firstLineChars="1600"/>
        <w:textAlignment w:val="auto"/>
        <w:rPr>
          <w:rFonts w:hint="eastAsia" w:ascii="仿宋_GB2312" w:hAnsi="仿宋_GB2312" w:eastAsia="仿宋_GB2312" w:cs="仿宋_GB2312"/>
          <w:color w:val="000000"/>
          <w:kern w:val="0"/>
          <w:sz w:val="32"/>
          <w:szCs w:val="32"/>
          <w:lang w:eastAsia="zh-CN"/>
        </w:rPr>
      </w:pPr>
      <w:r>
        <w:rPr>
          <w:rFonts w:hint="default" w:ascii="Times New Roman" w:hAnsi="Times New Roman" w:eastAsia="仿宋_GB2312" w:cs="Times New Roman"/>
          <w:color w:val="000000"/>
          <w:kern w:val="0"/>
          <w:sz w:val="32"/>
          <w:szCs w:val="32"/>
          <w:lang w:val="en-US" w:eastAsia="zh-CN"/>
        </w:rPr>
        <w:t>2023</w:t>
      </w:r>
      <w:r>
        <w:rPr>
          <w:rFonts w:hint="eastAsia" w:ascii="仿宋_GB2312" w:hAnsi="仿宋_GB2312" w:eastAsia="仿宋_GB2312" w:cs="仿宋_GB2312"/>
          <w:color w:val="000000"/>
          <w:kern w:val="0"/>
          <w:sz w:val="32"/>
          <w:szCs w:val="32"/>
          <w:lang w:val="en-US" w:eastAsia="zh-CN"/>
        </w:rPr>
        <w:t>年</w:t>
      </w:r>
      <w:r>
        <w:rPr>
          <w:rFonts w:hint="eastAsia" w:ascii="Times New Roman" w:hAnsi="Times New Roman" w:eastAsia="仿宋_GB2312" w:cs="Times New Roman"/>
          <w:color w:val="000000"/>
          <w:kern w:val="0"/>
          <w:sz w:val="32"/>
          <w:szCs w:val="32"/>
          <w:lang w:val="en-US" w:eastAsia="zh-CN"/>
        </w:rPr>
        <w:t>6</w:t>
      </w:r>
      <w:r>
        <w:rPr>
          <w:rFonts w:hint="eastAsia" w:ascii="仿宋_GB2312" w:hAnsi="仿宋_GB2312" w:eastAsia="仿宋_GB2312" w:cs="仿宋_GB2312"/>
          <w:color w:val="000000"/>
          <w:kern w:val="0"/>
          <w:sz w:val="32"/>
          <w:szCs w:val="32"/>
          <w:lang w:val="en-US" w:eastAsia="zh-CN"/>
        </w:rPr>
        <w:t>月</w:t>
      </w:r>
      <w:r>
        <w:rPr>
          <w:rFonts w:hint="eastAsia" w:ascii="Times New Roman" w:hAnsi="Times New Roman" w:eastAsia="仿宋_GB2312" w:cs="Times New Roman"/>
          <w:color w:val="000000"/>
          <w:kern w:val="0"/>
          <w:sz w:val="32"/>
          <w:szCs w:val="32"/>
          <w:lang w:val="en-US" w:eastAsia="zh-CN"/>
        </w:rPr>
        <w:t>1</w:t>
      </w:r>
      <w:r>
        <w:rPr>
          <w:rFonts w:hint="eastAsia" w:ascii="仿宋_GB2312" w:hAnsi="仿宋_GB2312" w:eastAsia="仿宋_GB2312" w:cs="仿宋_GB2312"/>
          <w:color w:val="000000"/>
          <w:kern w:val="0"/>
          <w:sz w:val="32"/>
          <w:szCs w:val="32"/>
          <w:lang w:val="en-US" w:eastAsia="zh-CN"/>
        </w:rPr>
        <w:t>日</w:t>
      </w: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kinsoku/>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kinsoku/>
        <w:wordWrap w:val="0"/>
        <w:overflowPunct/>
        <w:topLinePunct w:val="0"/>
        <w:autoSpaceDE/>
        <w:autoSpaceDN/>
        <w:bidi w:val="0"/>
        <w:adjustRightInd/>
        <w:snapToGrid w:val="0"/>
        <w:spacing w:line="576" w:lineRule="exact"/>
        <w:ind w:right="567" w:firstLine="640" w:firstLineChars="200"/>
        <w:jc w:val="righ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 xml:space="preserve">  </w:t>
      </w:r>
    </w:p>
    <w:p>
      <w:pPr>
        <w:keepNext w:val="0"/>
        <w:keepLines w:val="0"/>
        <w:pageBreakBefore w:val="0"/>
        <w:widowControl/>
        <w:kinsoku/>
        <w:wordWrap/>
        <w:overflowPunct/>
        <w:topLinePunct w:val="0"/>
        <w:autoSpaceDE/>
        <w:autoSpaceDN/>
        <w:bidi w:val="0"/>
        <w:adjustRightInd/>
        <w:snapToGrid w:val="0"/>
        <w:spacing w:line="576" w:lineRule="exact"/>
        <w:ind w:right="2835" w:firstLine="640" w:firstLineChars="200"/>
        <w:jc w:val="right"/>
        <w:textAlignment w:val="auto"/>
        <w:rPr>
          <w:rFonts w:hint="eastAsia" w:ascii="仿宋_GB2312" w:hAnsi="仿宋_GB2312" w:eastAsia="仿宋_GB2312" w:cs="仿宋_GB2312"/>
          <w:color w:val="000000"/>
          <w:kern w:val="0"/>
          <w:sz w:val="32"/>
          <w:szCs w:val="32"/>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7099110"/>
      <w:docPartObj>
        <w:docPartGallery w:val="autotext"/>
      </w:docPartObj>
    </w:sdtPr>
    <w:sdtEndPr>
      <w:rPr>
        <w:rFonts w:hint="default" w:ascii="Times New Roman" w:hAnsi="Times New Roman" w:cs="Times New Roman"/>
      </w:rPr>
    </w:sdtEndPr>
    <w:sdtContent>
      <w:p>
        <w:pPr>
          <w:pStyle w:val="3"/>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2</w:t>
        </w:r>
        <w:r>
          <w:rPr>
            <w:rFonts w:hint="default" w:ascii="Times New Roman" w:hAnsi="Times New Roman" w:cs="Times New Roman"/>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FmMDViYWU3OTZjYThmOTI2NjYwNzlkZGQxZmNmYjAifQ=="/>
  </w:docVars>
  <w:rsids>
    <w:rsidRoot w:val="00B20C9A"/>
    <w:rsid w:val="0009674F"/>
    <w:rsid w:val="00136A32"/>
    <w:rsid w:val="00270A29"/>
    <w:rsid w:val="00271838"/>
    <w:rsid w:val="002C1A82"/>
    <w:rsid w:val="002E61A6"/>
    <w:rsid w:val="002F0584"/>
    <w:rsid w:val="003419B8"/>
    <w:rsid w:val="0035296F"/>
    <w:rsid w:val="00385A25"/>
    <w:rsid w:val="003F0F85"/>
    <w:rsid w:val="00401AAF"/>
    <w:rsid w:val="00464CFB"/>
    <w:rsid w:val="004C5EEF"/>
    <w:rsid w:val="004D0288"/>
    <w:rsid w:val="00507CA2"/>
    <w:rsid w:val="005B403E"/>
    <w:rsid w:val="005B7949"/>
    <w:rsid w:val="00602DD1"/>
    <w:rsid w:val="006C09B0"/>
    <w:rsid w:val="00737C23"/>
    <w:rsid w:val="007D6B45"/>
    <w:rsid w:val="008234D0"/>
    <w:rsid w:val="00851747"/>
    <w:rsid w:val="00861321"/>
    <w:rsid w:val="008D01ED"/>
    <w:rsid w:val="008D495E"/>
    <w:rsid w:val="009216B3"/>
    <w:rsid w:val="009A44ED"/>
    <w:rsid w:val="009A537C"/>
    <w:rsid w:val="009C3D28"/>
    <w:rsid w:val="00A77172"/>
    <w:rsid w:val="00AC6ADC"/>
    <w:rsid w:val="00AF4E14"/>
    <w:rsid w:val="00B20C9A"/>
    <w:rsid w:val="00B84E65"/>
    <w:rsid w:val="00BB3368"/>
    <w:rsid w:val="00BE572B"/>
    <w:rsid w:val="00C4436F"/>
    <w:rsid w:val="00D0578A"/>
    <w:rsid w:val="00D452EE"/>
    <w:rsid w:val="00D45AB0"/>
    <w:rsid w:val="00DA26C5"/>
    <w:rsid w:val="00E13743"/>
    <w:rsid w:val="00E24D9F"/>
    <w:rsid w:val="00E837E9"/>
    <w:rsid w:val="00EA163F"/>
    <w:rsid w:val="00F34D03"/>
    <w:rsid w:val="00FF56FA"/>
    <w:rsid w:val="00FF69D2"/>
    <w:rsid w:val="01C90C0F"/>
    <w:rsid w:val="08702488"/>
    <w:rsid w:val="08D44AE6"/>
    <w:rsid w:val="0A4A74C5"/>
    <w:rsid w:val="0B1D7273"/>
    <w:rsid w:val="0E716282"/>
    <w:rsid w:val="165F4D94"/>
    <w:rsid w:val="1A923332"/>
    <w:rsid w:val="1C6F138A"/>
    <w:rsid w:val="211C0FB9"/>
    <w:rsid w:val="3767398F"/>
    <w:rsid w:val="3FE130FD"/>
    <w:rsid w:val="41FB43D5"/>
    <w:rsid w:val="435C016E"/>
    <w:rsid w:val="445E3AC6"/>
    <w:rsid w:val="48061C97"/>
    <w:rsid w:val="4E992F9E"/>
    <w:rsid w:val="56AF5DE2"/>
    <w:rsid w:val="59BA2900"/>
    <w:rsid w:val="6296291B"/>
    <w:rsid w:val="62BF4BE6"/>
    <w:rsid w:val="631F6D97"/>
    <w:rsid w:val="69802A4E"/>
    <w:rsid w:val="70BC3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7"/>
    <w:unhideWhenUsed/>
    <w:qFormat/>
    <w:uiPriority w:val="99"/>
    <w:pPr>
      <w:widowControl/>
      <w:jc w:val="left"/>
    </w:pPr>
    <w:rPr>
      <w:rFonts w:ascii="宋体" w:hAnsi="宋体" w:cs="宋体"/>
      <w:kern w:val="0"/>
      <w:sz w:val="24"/>
      <w:szCs w:val="24"/>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纯文本 字符"/>
    <w:link w:val="2"/>
    <w:semiHidden/>
    <w:qFormat/>
    <w:uiPriority w:val="99"/>
    <w:rPr>
      <w:rFonts w:ascii="宋体" w:hAnsi="宋体" w:cs="宋体"/>
      <w:sz w:val="24"/>
      <w:szCs w:val="24"/>
    </w:rPr>
  </w:style>
  <w:style w:type="character" w:customStyle="1" w:styleId="8">
    <w:name w:val="页脚 字符"/>
    <w:link w:val="3"/>
    <w:qFormat/>
    <w:uiPriority w:val="99"/>
    <w:rPr>
      <w:kern w:val="2"/>
      <w:sz w:val="18"/>
      <w:szCs w:val="18"/>
    </w:rPr>
  </w:style>
  <w:style w:type="character" w:customStyle="1" w:styleId="9">
    <w:name w:val="页眉 字符"/>
    <w:link w:val="4"/>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QHU</Company>
  <Pages>5</Pages>
  <Words>1846</Words>
  <Characters>1922</Characters>
  <Lines>1</Lines>
  <Paragraphs>1</Paragraphs>
  <TotalTime>2</TotalTime>
  <ScaleCrop>false</ScaleCrop>
  <LinksUpToDate>false</LinksUpToDate>
  <CharactersWithSpaces>1963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2016-06-03T02:48:00Z</dcterms:created>
  <dc:creator>Gaoqiang</dc:creator>
  <cp:lastModifiedBy>下一秒的回眸</cp:lastModifiedBy>
  <cp:lastPrinted>2023-07-07T08:00:15Z</cp:lastPrinted>
  <dcterms:modified xsi:type="dcterms:W3CDTF">2023-07-07T08:07:05Z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9234313E08964FD7A9D1A92E0C09DB22_13</vt:lpwstr>
  </property>
</Properties>
</file>